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8" w:name="digestion"/>
    <w:p>
      <w:pPr>
        <w:pStyle w:val="Heading1"/>
      </w:pPr>
      <w:r>
        <w:t xml:space="preserve">Digestion</w:t>
      </w:r>
    </w:p>
    <w:bookmarkStart w:id="9" w:name="overview"/>
    <w:p>
      <w:pPr>
        <w:pStyle w:val="Heading2"/>
      </w:pPr>
      <w:r>
        <w:t xml:space="preserve">Overview</w:t>
      </w:r>
    </w:p>
    <w:p>
      <w:pPr>
        <w:pStyle w:val="FirstParagraph"/>
      </w:pPr>
      <w:r>
        <w:t xml:space="preserve">Digestion converts consumed prey mass into usable energy while transferring associated contaminants such as inorganic mercury and methylmercury from stomach contents into internal body burden pools. Within P-MEM, digestion is modeled as a metabolically mediated process, where digestive throughput is proportional to the agent’s current metabolic rate and reflects established links between physiological state, energetic demand, and digestive processing in fishes, including gut evacuation and energy assimilation</w:t>
      </w:r>
      <w:r>
        <w:t xml:space="preserve"> </w:t>
      </w:r>
      <w:r>
        <w:t xml:space="preserve">(Volkoff and Rønnestad 2020; Fu et al. 2009)</w:t>
      </w:r>
      <w:r>
        <w:t xml:space="preserve">. As stomach contents are broken down, a fraction of biomass is converted into energy while biomass-associated contaminants are internalized, linking feeding, energetic gain, and contaminant uptake within a unified framework. When stomach contents are depleted, agents transition into foraging mode and begin drawing on lipid reserves.</w:t>
      </w:r>
    </w:p>
    <w:bookmarkEnd w:id="9"/>
    <w:bookmarkStart w:id="10" w:name="purpose"/>
    <w:p>
      <w:pPr>
        <w:pStyle w:val="Heading2"/>
      </w:pPr>
      <w:r>
        <w:t xml:space="preserve">Purpose</w:t>
      </w:r>
    </w:p>
    <w:p>
      <w:pPr>
        <w:pStyle w:val="FirstParagraph"/>
      </w:pPr>
      <w:r>
        <w:t xml:space="preserve">To simulate how migratory fish process ingested prey into energy and contaminants while linking digestive performance to metabolic rate, foraging behavior, and exposure risk. Digestion provides the energetic foundation required for movement, migration, and physiological processes while directly influencing contaminant accumulation.</w:t>
      </w:r>
    </w:p>
    <w:bookmarkEnd w:id="10"/>
    <w:bookmarkStart w:id="15" w:name="entities-state-variables-and-scales"/>
    <w:p>
      <w:pPr>
        <w:pStyle w:val="Heading2"/>
      </w:pPr>
      <w:r>
        <w:t xml:space="preserve">Entities, State Variables, and Scales</w:t>
      </w:r>
    </w:p>
    <w:bookmarkStart w:id="11" w:name="spatial-and-temporal-scales"/>
    <w:p>
      <w:pPr>
        <w:pStyle w:val="Heading3"/>
      </w:pPr>
      <w:r>
        <w:t xml:space="preserve">Spatial and Temporal Scales</w:t>
      </w:r>
    </w:p>
    <w:p>
      <w:pPr>
        <w:pStyle w:val="FirstParagraph"/>
      </w:pPr>
      <w:r>
        <w:rPr>
          <w:b/>
          <w:bCs/>
        </w:rPr>
        <w:t xml:space="preserve">Spatial Unit:</w:t>
      </w:r>
      <w:r>
        <w:t xml:space="preserve"> </w:t>
      </w:r>
      <w:r>
        <w:t xml:space="preserve">Patch (3 m x 3 m resolution)</w:t>
      </w:r>
      <w:r>
        <w:br/>
      </w:r>
      <w:r>
        <w:rPr>
          <w:b/>
          <w:bCs/>
        </w:rPr>
        <w:t xml:space="preserve">Temporal Unit:</w:t>
      </w:r>
      <w:r>
        <w:t xml:space="preserve"> </w:t>
      </w:r>
      <w:r>
        <w:t xml:space="preserve">5 minute time steps (tick)</w:t>
      </w:r>
    </w:p>
    <w:bookmarkEnd w:id="11"/>
    <w:bookmarkStart w:id="12" w:name="global-variables"/>
    <w:p>
      <w:pPr>
        <w:pStyle w:val="Heading3"/>
      </w:pPr>
      <w:r>
        <w:t xml:space="preserve">Global Variables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Global Variable</w:t>
            </w:r>
          </w:p>
        </w:tc>
        <w:tc>
          <w:tcPr/>
          <w:p>
            <w:pPr>
              <w:pStyle w:val="Compact"/>
            </w:pPr>
            <w:r>
              <w:t xml:space="preserve">Definition</w:t>
            </w:r>
          </w:p>
        </w:tc>
      </w:tr>
      <w:tr>
        <w:tc>
          <w:tcPr/>
          <w:p>
            <w:pPr>
              <w:pStyle w:val="Compact"/>
            </w:pPr>
            <w:r>
              <w:rPr>
                <w:b/>
                <w:bCs/>
              </w:rPr>
              <w:t xml:space="preserve">none required</w:t>
            </w:r>
          </w:p>
        </w:tc>
        <w:tc>
          <w:tcPr/>
          <w:p>
            <w:pPr>
              <w:pStyle w:val="Compact"/>
            </w:pPr>
            <w:r>
              <w:t xml:space="preserve">Digestion uses internal agent state + metabolism-rate from metabolism submodel.</w:t>
            </w:r>
          </w:p>
        </w:tc>
      </w:tr>
    </w:tbl>
    <w:bookmarkEnd w:id="12"/>
    <w:bookmarkStart w:id="13" w:name="patch-variables"/>
    <w:p>
      <w:pPr>
        <w:pStyle w:val="Heading3"/>
      </w:pPr>
      <w:r>
        <w:t xml:space="preserve">Patch Variables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Variable Name</w:t>
            </w:r>
          </w:p>
        </w:tc>
        <w:tc>
          <w:tcPr/>
          <w:p>
            <w:pPr>
              <w:pStyle w:val="Compact"/>
            </w:pPr>
            <w:r>
              <w:t xml:space="preserve">Definition</w:t>
            </w:r>
          </w:p>
        </w:tc>
      </w:tr>
      <w:tr>
        <w:tc>
          <w:tcPr/>
          <w:p>
            <w:pPr>
              <w:pStyle w:val="Compact"/>
            </w:pPr>
            <w:r>
              <w:t xml:space="preserve">None required</w:t>
            </w:r>
          </w:p>
        </w:tc>
        <w:tc>
          <w:tcPr/>
          <w:p>
            <w:pPr>
              <w:pStyle w:val="Compact"/>
            </w:pPr>
            <w:r>
              <w:t xml:space="preserve">Digestion is an internal physiological process and does not depend on patch attributes.</w:t>
            </w:r>
          </w:p>
        </w:tc>
      </w:tr>
    </w:tbl>
    <w:bookmarkEnd w:id="13"/>
    <w:bookmarkStart w:id="14" w:name="agent-variables"/>
    <w:p>
      <w:pPr>
        <w:pStyle w:val="Heading3"/>
      </w:pPr>
      <w:r>
        <w:t xml:space="preserve">Agent Variables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Variable Name</w:t>
            </w:r>
          </w:p>
        </w:tc>
        <w:tc>
          <w:tcPr/>
          <w:p>
            <w:pPr>
              <w:pStyle w:val="Compact"/>
            </w:pPr>
            <w:r>
              <w:t xml:space="preserve">Definition</w:t>
            </w:r>
          </w:p>
        </w:tc>
      </w:tr>
      <w:tr>
        <w:tc>
          <w:tcPr/>
          <w:p>
            <w:pPr>
              <w:pStyle w:val="Compact"/>
            </w:pPr>
            <w:r>
              <w:rPr>
                <w:b/>
                <w:bCs/>
              </w:rPr>
              <w:t xml:space="preserve">stomach-contents</w:t>
            </w:r>
          </w:p>
        </w:tc>
        <w:tc>
          <w:tcPr/>
          <w:p>
            <w:pPr>
              <w:pStyle w:val="Compact"/>
            </w:pPr>
            <w:r>
              <w:t xml:space="preserve">Total mass of prey currently held in the stomach.</w:t>
            </w:r>
          </w:p>
        </w:tc>
      </w:tr>
      <w:tr>
        <w:tc>
          <w:tcPr/>
          <w:p>
            <w:pPr>
              <w:pStyle w:val="Compact"/>
            </w:pPr>
            <w:r>
              <w:rPr>
                <w:b/>
                <w:bCs/>
              </w:rPr>
              <w:t xml:space="preserve">stomach-contents-Hg</w:t>
            </w:r>
          </w:p>
        </w:tc>
        <w:tc>
          <w:tcPr/>
          <w:p>
            <w:pPr>
              <w:pStyle w:val="Compact"/>
            </w:pPr>
            <w:r>
              <w:t xml:space="preserve">Inorganic mercury contained within the stomach contents.</w:t>
            </w:r>
          </w:p>
        </w:tc>
      </w:tr>
      <w:tr>
        <w:tc>
          <w:tcPr/>
          <w:p>
            <w:pPr>
              <w:pStyle w:val="Compact"/>
            </w:pPr>
            <w:r>
              <w:rPr>
                <w:b/>
                <w:bCs/>
              </w:rPr>
              <w:t xml:space="preserve">stomach-contents-MeHg</w:t>
            </w:r>
          </w:p>
        </w:tc>
        <w:tc>
          <w:tcPr/>
          <w:p>
            <w:pPr>
              <w:pStyle w:val="Compact"/>
            </w:pPr>
            <w:r>
              <w:t xml:space="preserve">Methylmercury contained within the stomach contents.</w:t>
            </w:r>
          </w:p>
        </w:tc>
      </w:tr>
      <w:tr>
        <w:tc>
          <w:tcPr/>
          <w:p>
            <w:pPr>
              <w:pStyle w:val="Compact"/>
            </w:pPr>
            <w:r>
              <w:rPr>
                <w:b/>
                <w:bCs/>
              </w:rPr>
              <w:t xml:space="preserve">digestion-rate</w:t>
            </w:r>
          </w:p>
        </w:tc>
        <w:tc>
          <w:tcPr/>
          <w:p>
            <w:pPr>
              <w:pStyle w:val="Compact"/>
            </w:pPr>
            <w:r>
              <w:t xml:space="preserve">Rate of digestion equal to the current metabolic rate.</w:t>
            </w:r>
          </w:p>
        </w:tc>
      </w:tr>
      <w:tr>
        <w:tc>
          <w:tcPr/>
          <w:p>
            <w:pPr>
              <w:pStyle w:val="Compact"/>
            </w:pPr>
            <w:r>
              <w:rPr>
                <w:b/>
                <w:bCs/>
              </w:rPr>
              <w:t xml:space="preserve">digestion-efficiency</w:t>
            </w:r>
          </w:p>
        </w:tc>
        <w:tc>
          <w:tcPr/>
          <w:p>
            <w:pPr>
              <w:pStyle w:val="Compact"/>
            </w:pPr>
            <w:r>
              <w:t xml:space="preserve">Fraction of digested mass converted into usable energy.</w:t>
            </w:r>
          </w:p>
        </w:tc>
      </w:tr>
      <w:tr>
        <w:tc>
          <w:tcPr/>
          <w:p>
            <w:pPr>
              <w:pStyle w:val="Compact"/>
            </w:pPr>
            <w:r>
              <w:rPr>
                <w:b/>
                <w:bCs/>
              </w:rPr>
              <w:t xml:space="preserve">energy</w:t>
            </w:r>
          </w:p>
        </w:tc>
        <w:tc>
          <w:tcPr/>
          <w:p>
            <w:pPr>
              <w:pStyle w:val="Compact"/>
            </w:pPr>
            <w:r>
              <w:t xml:space="preserve">Total energetic reserves available to the agent.</w:t>
            </w:r>
          </w:p>
        </w:tc>
      </w:tr>
      <w:tr>
        <w:tc>
          <w:tcPr/>
          <w:p>
            <w:pPr>
              <w:pStyle w:val="Compact"/>
            </w:pPr>
            <w:r>
              <w:rPr>
                <w:b/>
                <w:bCs/>
              </w:rPr>
              <w:t xml:space="preserve">gained-energy</w:t>
            </w:r>
          </w:p>
        </w:tc>
        <w:tc>
          <w:tcPr/>
          <w:p>
            <w:pPr>
              <w:pStyle w:val="Compact"/>
            </w:pPr>
            <w:r>
              <w:t xml:space="preserve">Energy gained during the current tick from digestion.</w:t>
            </w:r>
          </w:p>
        </w:tc>
      </w:tr>
      <w:tr>
        <w:tc>
          <w:tcPr/>
          <w:p>
            <w:pPr>
              <w:pStyle w:val="Compact"/>
            </w:pPr>
            <w:r>
              <w:rPr>
                <w:b/>
                <w:bCs/>
              </w:rPr>
              <w:t xml:space="preserve">mehg-foraging</w:t>
            </w:r>
          </w:p>
        </w:tc>
        <w:tc>
          <w:tcPr/>
          <w:p>
            <w:pPr>
              <w:pStyle w:val="Compact"/>
            </w:pPr>
            <w:r>
              <w:t xml:space="preserve">Methylmercury released from stomach contents and absorbed during digestion.</w:t>
            </w:r>
          </w:p>
        </w:tc>
      </w:tr>
      <w:tr>
        <w:tc>
          <w:tcPr/>
          <w:p>
            <w:pPr>
              <w:pStyle w:val="Compact"/>
            </w:pPr>
            <w:r>
              <w:rPr>
                <w:b/>
                <w:bCs/>
              </w:rPr>
              <w:t xml:space="preserve">hg-foraging</w:t>
            </w:r>
          </w:p>
        </w:tc>
        <w:tc>
          <w:tcPr/>
          <w:p>
            <w:pPr>
              <w:pStyle w:val="Compact"/>
            </w:pPr>
            <w:r>
              <w:t xml:space="preserve">Inorganic mercury released from stomach contents during digestion.</w:t>
            </w:r>
          </w:p>
        </w:tc>
      </w:tr>
      <w:tr>
        <w:tc>
          <w:tcPr/>
          <w:p>
            <w:pPr>
              <w:pStyle w:val="Compact"/>
            </w:pPr>
            <w:r>
              <w:rPr>
                <w:b/>
                <w:bCs/>
              </w:rPr>
              <w:t xml:space="preserve">mehg-foraging-total</w:t>
            </w:r>
          </w:p>
        </w:tc>
        <w:tc>
          <w:tcPr/>
          <w:p>
            <w:pPr>
              <w:pStyle w:val="Compact"/>
            </w:pPr>
            <w:r>
              <w:t xml:space="preserve">Cumulative methylmercury risk through feeding.</w:t>
            </w:r>
          </w:p>
        </w:tc>
      </w:tr>
      <w:tr>
        <w:tc>
          <w:tcPr/>
          <w:p>
            <w:pPr>
              <w:pStyle w:val="Compact"/>
            </w:pPr>
            <w:r>
              <w:rPr>
                <w:b/>
                <w:bCs/>
              </w:rPr>
              <w:t xml:space="preserve">hg-foraging-total</w:t>
            </w:r>
          </w:p>
        </w:tc>
        <w:tc>
          <w:tcPr/>
          <w:p>
            <w:pPr>
              <w:pStyle w:val="Compact"/>
            </w:pPr>
            <w:r>
              <w:t xml:space="preserve">Cumulative inorganic mercury risk via digestion.</w:t>
            </w:r>
          </w:p>
        </w:tc>
      </w:tr>
      <w:tr>
        <w:tc>
          <w:tcPr/>
          <w:p>
            <w:pPr>
              <w:pStyle w:val="Compact"/>
            </w:pPr>
            <w:r>
              <w:rPr>
                <w:b/>
                <w:bCs/>
              </w:rPr>
              <w:t xml:space="preserve">mehg-total</w:t>
            </w:r>
          </w:p>
        </w:tc>
        <w:tc>
          <w:tcPr/>
          <w:p>
            <w:pPr>
              <w:pStyle w:val="Compact"/>
            </w:pPr>
            <w:r>
              <w:t xml:space="preserve">Total body burden of methylmercury risk.</w:t>
            </w:r>
          </w:p>
        </w:tc>
      </w:tr>
      <w:tr>
        <w:tc>
          <w:tcPr/>
          <w:p>
            <w:pPr>
              <w:pStyle w:val="Compact"/>
            </w:pPr>
            <w:r>
              <w:rPr>
                <w:b/>
                <w:bCs/>
              </w:rPr>
              <w:t xml:space="preserve">hg-total</w:t>
            </w:r>
          </w:p>
        </w:tc>
        <w:tc>
          <w:tcPr/>
          <w:p>
            <w:pPr>
              <w:pStyle w:val="Compact"/>
            </w:pPr>
            <w:r>
              <w:t xml:space="preserve">Total body burden of inorganic mercury risk.</w:t>
            </w:r>
          </w:p>
        </w:tc>
      </w:tr>
      <w:tr>
        <w:tc>
          <w:tcPr/>
          <w:p>
            <w:pPr>
              <w:pStyle w:val="Compact"/>
            </w:pPr>
            <w:r>
              <w:rPr>
                <w:b/>
                <w:bCs/>
              </w:rPr>
              <w:t xml:space="preserve">foraging</w:t>
            </w:r>
          </w:p>
        </w:tc>
        <w:tc>
          <w:tcPr/>
          <w:p>
            <w:pPr>
              <w:pStyle w:val="Compact"/>
            </w:pPr>
            <w:r>
              <w:t xml:space="preserve">Boolean indicating whether the agent is actively searching for prey.</w:t>
            </w:r>
          </w:p>
        </w:tc>
      </w:tr>
      <w:tr>
        <w:tc>
          <w:tcPr/>
          <w:p>
            <w:pPr>
              <w:pStyle w:val="Compact"/>
            </w:pPr>
            <w:r>
              <w:rPr>
                <w:b/>
                <w:bCs/>
              </w:rPr>
              <w:t xml:space="preserve">lipid-loss</w:t>
            </w:r>
          </w:p>
        </w:tc>
        <w:tc>
          <w:tcPr/>
          <w:p>
            <w:pPr>
              <w:pStyle w:val="Compact"/>
            </w:pPr>
            <w:r>
              <w:t xml:space="preserve">Boolean indicating when lipid reserves are used due to lack of stomach content.</w:t>
            </w:r>
          </w:p>
        </w:tc>
      </w:tr>
    </w:tbl>
    <w:bookmarkEnd w:id="14"/>
    <w:bookmarkEnd w:id="15"/>
    <w:bookmarkStart w:id="16" w:name="process-overview-and-scheduling"/>
    <w:p>
      <w:pPr>
        <w:pStyle w:val="Heading2"/>
      </w:pPr>
      <w:r>
        <w:t xml:space="preserve">Process Overview and Scheduling</w:t>
      </w:r>
    </w:p>
    <w:p>
      <w:pPr>
        <w:numPr>
          <w:ilvl w:val="0"/>
          <w:numId w:val="1001"/>
        </w:numPr>
      </w:pPr>
      <w:r>
        <w:t xml:space="preserve">Set digestion rate equal to the current metabolic rate ((energy</w:t>
      </w:r>
      <w:r>
        <w:t xml:space="preserve"> </w:t>
      </w:r>
      <w:r>
        <w:t xml:space="preserve">units) tick⁻¹).</w:t>
      </w:r>
    </w:p>
    <w:p>
      <w:pPr>
        <w:numPr>
          <w:ilvl w:val="0"/>
          <w:numId w:val="1001"/>
        </w:numPr>
      </w:pPr>
      <w:r>
        <w:t xml:space="preserve">Calculate the mass digested during the current tick (g).</w:t>
      </w:r>
    </w:p>
    <w:p>
      <w:pPr>
        <w:numPr>
          <w:ilvl w:val="0"/>
          <w:numId w:val="1001"/>
        </w:numPr>
      </w:pPr>
      <w:r>
        <w:t xml:space="preserve">Compute the corresponding amounts of inorganic and methylmercury</w:t>
      </w:r>
      <w:r>
        <w:t xml:space="preserve"> </w:t>
      </w:r>
      <w:r>
        <w:t xml:space="preserve">digested (ng).</w:t>
      </w:r>
    </w:p>
    <w:p>
      <w:pPr>
        <w:numPr>
          <w:ilvl w:val="0"/>
          <w:numId w:val="1001"/>
        </w:numPr>
      </w:pPr>
      <w:r>
        <w:t xml:space="preserve">Remove digested biomass and associated contaminants from stomach</w:t>
      </w:r>
      <w:r>
        <w:t xml:space="preserve"> </w:t>
      </w:r>
      <w:r>
        <w:t xml:space="preserve">contents (g; ng).</w:t>
      </w:r>
    </w:p>
    <w:p>
      <w:pPr>
        <w:numPr>
          <w:ilvl w:val="0"/>
          <w:numId w:val="1001"/>
        </w:numPr>
      </w:pPr>
      <w:r>
        <w:t xml:space="preserve">Convert a fraction of digested biomass into usable energy ((energy</w:t>
      </w:r>
      <w:r>
        <w:t xml:space="preserve"> </w:t>
      </w:r>
      <w:r>
        <w:t xml:space="preserve">units) tick⁻¹).</w:t>
      </w:r>
    </w:p>
    <w:p>
      <w:pPr>
        <w:numPr>
          <w:ilvl w:val="0"/>
          <w:numId w:val="1001"/>
        </w:numPr>
      </w:pPr>
      <w:r>
        <w:t xml:space="preserve">Add mercury and methylmercury to cumulative body burden pools (ng).</w:t>
      </w:r>
    </w:p>
    <w:p>
      <w:pPr>
        <w:numPr>
          <w:ilvl w:val="0"/>
          <w:numId w:val="1001"/>
        </w:numPr>
      </w:pPr>
      <w:r>
        <w:t xml:space="preserve">When stomach contents reach zero, set foraging to true and begin</w:t>
      </w:r>
      <w:r>
        <w:t xml:space="preserve"> </w:t>
      </w:r>
      <w:r>
        <w:t xml:space="preserve">lipid use.</w:t>
      </w:r>
    </w:p>
    <w:bookmarkEnd w:id="16"/>
    <w:bookmarkStart w:id="17" w:name="design-concepts"/>
    <w:p>
      <w:pPr>
        <w:pStyle w:val="Heading2"/>
      </w:pPr>
      <w:r>
        <w:t xml:space="preserve">Design Concepts</w:t>
      </w:r>
    </w:p>
    <w:p>
      <w:pPr>
        <w:pStyle w:val="FirstParagraph"/>
      </w:pPr>
      <w:r>
        <w:rPr>
          <w:b/>
          <w:bCs/>
        </w:rPr>
        <w:t xml:space="preserve">Basic Principles:</w:t>
      </w:r>
      <w:r>
        <w:t xml:space="preserve"> </w:t>
      </w:r>
      <w:r>
        <w:t xml:space="preserve">Digestion is modeled as a metabolic rate dependent</w:t>
      </w:r>
      <w:r>
        <w:t xml:space="preserve"> </w:t>
      </w:r>
      <w:r>
        <w:t xml:space="preserve">process, where higher metabolic demand results in greater digestive</w:t>
      </w:r>
      <w:r>
        <w:t xml:space="preserve"> </w:t>
      </w:r>
      <w:r>
        <w:t xml:space="preserve">throughput</w:t>
      </w:r>
      <w:r>
        <w:t xml:space="preserve"> </w:t>
      </w:r>
      <w:r>
        <w:t xml:space="preserve">(Brown et al. 2004)</w:t>
      </w:r>
      <w:r>
        <w:t xml:space="preserve">. Dietary MeHg uptake was represented as</w:t>
      </w:r>
      <w:r>
        <w:t xml:space="preserve"> </w:t>
      </w:r>
      <w:r>
        <w:t xml:space="preserve">proportional to assimilated (digested) prey mass, consistent with</w:t>
      </w:r>
      <w:r>
        <w:t xml:space="preserve"> </w:t>
      </w:r>
      <w:r>
        <w:t xml:space="preserve">mercury mass balance formulations that model uptake from food via an</w:t>
      </w:r>
      <w:r>
        <w:t xml:space="preserve"> </w:t>
      </w:r>
      <w:r>
        <w:t xml:space="preserve">assimilation term</w:t>
      </w:r>
      <w:r>
        <w:t xml:space="preserve"> </w:t>
      </w:r>
      <w:r>
        <w:t xml:space="preserve">(Trudel and Rasmussen 2006)</w:t>
      </w:r>
    </w:p>
    <w:p>
      <w:pPr>
        <w:pStyle w:val="BodyText"/>
      </w:pPr>
      <w:r>
        <w:rPr>
          <w:b/>
          <w:bCs/>
        </w:rPr>
        <w:t xml:space="preserve">Emergence:</w:t>
      </w:r>
      <w:r>
        <w:t xml:space="preserve"> </w:t>
      </w:r>
      <w:r>
        <w:t xml:space="preserve">Patterns of energy gain and contaminant uptake emerge</w:t>
      </w:r>
      <w:r>
        <w:t xml:space="preserve"> </w:t>
      </w:r>
      <w:r>
        <w:t xml:space="preserve">from interactions among foraging success, metabolism, digestion</w:t>
      </w:r>
      <w:r>
        <w:t xml:space="preserve"> </w:t>
      </w:r>
      <w:r>
        <w:t xml:space="preserve">efficiency, and prey availability.</w:t>
      </w:r>
    </w:p>
    <w:p>
      <w:pPr>
        <w:pStyle w:val="BodyText"/>
      </w:pPr>
      <w:r>
        <w:rPr>
          <w:b/>
          <w:bCs/>
        </w:rPr>
        <w:t xml:space="preserve">Adaptation:</w:t>
      </w:r>
      <w:r>
        <w:t xml:space="preserve"> </w:t>
      </w:r>
      <w:r>
        <w:t xml:space="preserve">Agents respond to depleted stomach contents by</w:t>
      </w:r>
      <w:r>
        <w:t xml:space="preserve"> </w:t>
      </w:r>
      <w:r>
        <w:t xml:space="preserve">transitioning into foraging mode and initiating lipid catabolism when</w:t>
      </w:r>
      <w:r>
        <w:t xml:space="preserve"> </w:t>
      </w:r>
      <w:r>
        <w:t xml:space="preserve">necessary.</w:t>
      </w:r>
    </w:p>
    <w:p>
      <w:pPr>
        <w:pStyle w:val="BodyText"/>
      </w:pPr>
      <w:r>
        <w:rPr>
          <w:b/>
          <w:bCs/>
        </w:rPr>
        <w:t xml:space="preserve">Objectives:</w:t>
      </w:r>
      <w:r>
        <w:t xml:space="preserve"> </w:t>
      </w:r>
      <w:r>
        <w:t xml:space="preserve">Agents allocate available energy across movement,</w:t>
      </w:r>
      <w:r>
        <w:t xml:space="preserve"> </w:t>
      </w:r>
      <w:r>
        <w:t xml:space="preserve">maintenance, and physiological processes to maximize reproductive</w:t>
      </w:r>
      <w:r>
        <w:t xml:space="preserve"> </w:t>
      </w:r>
      <w:r>
        <w:t xml:space="preserve">success along the migration pathway while minimizing the risk of</w:t>
      </w:r>
      <w:r>
        <w:t xml:space="preserve"> </w:t>
      </w:r>
      <w:r>
        <w:t xml:space="preserve">energetic depletion.</w:t>
      </w:r>
    </w:p>
    <w:p>
      <w:pPr>
        <w:pStyle w:val="BodyText"/>
      </w:pPr>
      <w:r>
        <w:rPr>
          <w:b/>
          <w:bCs/>
        </w:rPr>
        <w:t xml:space="preserve">Sensing:</w:t>
      </w:r>
      <w:r>
        <w:t xml:space="preserve"> </w:t>
      </w:r>
      <w:r>
        <w:t xml:space="preserve">Agents sense their own energetic state through stomach</w:t>
      </w:r>
      <w:r>
        <w:t xml:space="preserve"> </w:t>
      </w:r>
      <w:r>
        <w:t xml:space="preserve">contents and energy levels.</w:t>
      </w:r>
    </w:p>
    <w:p>
      <w:pPr>
        <w:pStyle w:val="BodyText"/>
      </w:pPr>
      <w:r>
        <w:rPr>
          <w:b/>
          <w:bCs/>
        </w:rPr>
        <w:t xml:space="preserve">Stochasticity:</w:t>
      </w:r>
      <w:r>
        <w:t xml:space="preserve"> </w:t>
      </w:r>
      <w:r>
        <w:t xml:space="preserve">Stochasticity arises indirectly from variation in</w:t>
      </w:r>
      <w:r>
        <w:t xml:space="preserve"> </w:t>
      </w:r>
      <w:r>
        <w:t xml:space="preserve">prey encounters or foraging success, although digestion itself is</w:t>
      </w:r>
      <w:r>
        <w:t xml:space="preserve"> </w:t>
      </w:r>
      <w:r>
        <w:t xml:space="preserve">deterministic.</w:t>
      </w:r>
    </w:p>
    <w:p>
      <w:pPr>
        <w:pStyle w:val="BodyText"/>
      </w:pPr>
      <w:r>
        <w:rPr>
          <w:b/>
          <w:bCs/>
        </w:rPr>
        <w:t xml:space="preserve">Collectives:</w:t>
      </w:r>
      <w:r>
        <w:t xml:space="preserve"> </w:t>
      </w:r>
      <w:r>
        <w:t xml:space="preserve">Digestion occurs independently for each agent and does</w:t>
      </w:r>
      <w:r>
        <w:t xml:space="preserve"> </w:t>
      </w:r>
      <w:r>
        <w:t xml:space="preserve">not require group level dynamics.</w:t>
      </w:r>
    </w:p>
    <w:p>
      <w:pPr>
        <w:pStyle w:val="BodyText"/>
      </w:pPr>
      <w:r>
        <w:rPr>
          <w:b/>
          <w:bCs/>
        </w:rPr>
        <w:t xml:space="preserve">Observation:</w:t>
      </w:r>
      <w:r>
        <w:t xml:space="preserve"> </w:t>
      </w:r>
      <w:r>
        <w:t xml:space="preserve">Outputs of interest include digested mass per tick,</w:t>
      </w:r>
      <w:r>
        <w:t xml:space="preserve"> </w:t>
      </w:r>
      <w:r>
        <w:t xml:space="preserve">gained energy, contaminant uptake, and cumulative contaminant burdens.</w:t>
      </w:r>
    </w:p>
    <w:bookmarkEnd w:id="17"/>
    <w:bookmarkStart w:id="18" w:name="initialization"/>
    <w:p>
      <w:pPr>
        <w:pStyle w:val="Heading2"/>
      </w:pPr>
      <w:r>
        <w:t xml:space="preserve">Initialization</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jc w:val="center"/>
            </w:pPr>
            <w:r>
              <w:t xml:space="preserve">Variable</w:t>
            </w:r>
          </w:p>
        </w:tc>
        <w:tc>
          <w:tcPr/>
          <w:p>
            <w:pPr>
              <w:pStyle w:val="Compact"/>
              <w:jc w:val="center"/>
            </w:pPr>
            <w:r>
              <w:t xml:space="preserve">Initialized Value</w:t>
            </w:r>
          </w:p>
        </w:tc>
        <w:tc>
          <w:tcPr/>
          <w:p>
            <w:pPr>
              <w:pStyle w:val="Compact"/>
              <w:jc w:val="center"/>
            </w:pPr>
            <w:r>
              <w:t xml:space="preserve">Justification</w:t>
            </w:r>
          </w:p>
        </w:tc>
      </w:tr>
      <w:tr>
        <w:tc>
          <w:tcPr/>
          <w:p>
            <w:pPr>
              <w:pStyle w:val="Compact"/>
              <w:jc w:val="center"/>
            </w:pPr>
            <w:r>
              <w:t xml:space="preserve">stomach-contents</w:t>
            </w:r>
          </w:p>
        </w:tc>
        <w:tc>
          <w:tcPr/>
          <w:p>
            <w:pPr>
              <w:pStyle w:val="Compact"/>
              <w:jc w:val="center"/>
            </w:pPr>
            <w:r>
              <w:t xml:space="preserve">0</w:t>
            </w:r>
          </w:p>
        </w:tc>
        <w:tc>
          <w:tcPr/>
          <w:p>
            <w:pPr>
              <w:pStyle w:val="Compact"/>
              <w:jc w:val="center"/>
            </w:pPr>
            <w:r>
              <w:t xml:space="preserve">Agents begin without prey unless defined by scenario.</w:t>
            </w:r>
          </w:p>
        </w:tc>
      </w:tr>
      <w:tr>
        <w:tc>
          <w:tcPr/>
          <w:p>
            <w:pPr>
              <w:pStyle w:val="Compact"/>
              <w:jc w:val="center"/>
            </w:pPr>
            <w:r>
              <w:t xml:space="preserve">stomach-contents-Hg</w:t>
            </w:r>
          </w:p>
        </w:tc>
        <w:tc>
          <w:tcPr/>
          <w:p>
            <w:pPr>
              <w:pStyle w:val="Compact"/>
              <w:jc w:val="center"/>
            </w:pPr>
            <w:r>
              <w:t xml:space="preserve">0</w:t>
            </w:r>
          </w:p>
        </w:tc>
        <w:tc>
          <w:tcPr/>
          <w:p>
            <w:pPr>
              <w:pStyle w:val="Compact"/>
              <w:jc w:val="center"/>
            </w:pPr>
            <w:r>
              <w:t xml:space="preserve">No initial inorganic mercury from digestion.</w:t>
            </w:r>
          </w:p>
        </w:tc>
      </w:tr>
      <w:tr>
        <w:tc>
          <w:tcPr/>
          <w:p>
            <w:pPr>
              <w:pStyle w:val="Compact"/>
              <w:jc w:val="center"/>
            </w:pPr>
            <w:r>
              <w:t xml:space="preserve">stomach-contents-MeHg</w:t>
            </w:r>
          </w:p>
        </w:tc>
        <w:tc>
          <w:tcPr/>
          <w:p>
            <w:pPr>
              <w:pStyle w:val="Compact"/>
              <w:jc w:val="center"/>
            </w:pPr>
            <w:r>
              <w:t xml:space="preserve">0</w:t>
            </w:r>
          </w:p>
        </w:tc>
        <w:tc>
          <w:tcPr/>
          <w:p>
            <w:pPr>
              <w:pStyle w:val="Compact"/>
              <w:jc w:val="center"/>
            </w:pPr>
            <w:r>
              <w:t xml:space="preserve">No initial methylmercury from digestion.</w:t>
            </w:r>
          </w:p>
        </w:tc>
      </w:tr>
      <w:tr>
        <w:tc>
          <w:tcPr/>
          <w:p>
            <w:pPr>
              <w:pStyle w:val="Compact"/>
              <w:jc w:val="center"/>
            </w:pPr>
            <w:r>
              <w:t xml:space="preserve">digestion-efficiency</w:t>
            </w:r>
          </w:p>
        </w:tc>
        <w:tc>
          <w:tcPr/>
          <w:p>
            <w:pPr>
              <w:pStyle w:val="Compact"/>
              <w:jc w:val="center"/>
            </w:pPr>
            <w:r>
              <w:t xml:space="preserve">Species specific</w:t>
            </w:r>
          </w:p>
        </w:tc>
        <w:tc>
          <w:tcPr/>
          <w:p>
            <w:pPr>
              <w:pStyle w:val="Compact"/>
              <w:jc w:val="center"/>
            </w:pPr>
            <w:r>
              <w:t xml:space="preserve">Determines fraction of biomass converted to energy.</w:t>
            </w:r>
          </w:p>
        </w:tc>
      </w:tr>
      <w:tr>
        <w:tc>
          <w:tcPr/>
          <w:p>
            <w:pPr>
              <w:pStyle w:val="Compact"/>
              <w:jc w:val="center"/>
            </w:pPr>
            <w:r>
              <w:t xml:space="preserve">foraging</w:t>
            </w:r>
          </w:p>
        </w:tc>
        <w:tc>
          <w:tcPr/>
          <w:p>
            <w:pPr>
              <w:pStyle w:val="Compact"/>
              <w:jc w:val="center"/>
            </w:pPr>
            <w:r>
              <w:t xml:space="preserve">true</w:t>
            </w:r>
          </w:p>
        </w:tc>
        <w:tc>
          <w:tcPr/>
          <w:p>
            <w:pPr>
              <w:pStyle w:val="Compact"/>
              <w:jc w:val="center"/>
            </w:pPr>
            <w:r>
              <w:t xml:space="preserve">Agents begin in search mode when stomach is empty.</w:t>
            </w:r>
          </w:p>
        </w:tc>
      </w:tr>
    </w:tbl>
    <w:bookmarkEnd w:id="18"/>
    <w:bookmarkStart w:id="23" w:name="submodels"/>
    <w:p>
      <w:pPr>
        <w:pStyle w:val="Heading2"/>
      </w:pPr>
      <w:r>
        <w:t xml:space="preserve">Submodels</w:t>
      </w:r>
    </w:p>
    <w:bookmarkStart w:id="19" w:name="digestion-rate-and-breakdown"/>
    <w:p>
      <w:pPr>
        <w:pStyle w:val="Heading3"/>
      </w:pPr>
      <w:r>
        <w:t xml:space="preserve">Digestion Rate and Breakdown</w:t>
      </w:r>
    </w:p>
    <w:p>
      <w:pPr>
        <w:pStyle w:val="FirstParagraph"/>
      </w:pPr>
      <w:r>
        <w:t xml:space="preserve">Digestive throughput is driven by metabolic rate:</w:t>
      </w:r>
    </w:p>
    <w:p>
      <w:pPr>
        <w:pStyle w:val="BodyText"/>
      </w:pPr>
      <m:oMathPara>
        <m:oMathParaPr>
          <m:jc m:val="center"/>
        </m:oMathParaPr>
        <m:oMath>
          <m:sSub>
            <m:e>
              <m:r>
                <m:t>R</m:t>
              </m:r>
            </m:e>
            <m:sub>
              <m:r>
                <m:t>d</m:t>
              </m:r>
              <m:r>
                <m:t>i</m:t>
              </m:r>
              <m:r>
                <m:t>g</m:t>
              </m:r>
              <m:r>
                <m:t>e</m:t>
              </m:r>
              <m:r>
                <m:t>s</m:t>
              </m:r>
              <m:r>
                <m:t>t</m:t>
              </m:r>
            </m:sub>
          </m:sSub>
          <m:r>
            <m:rPr>
              <m:sty m:val="p"/>
            </m:rPr>
            <m:t>=</m:t>
          </m:r>
          <m:r>
            <m:t>M</m:t>
          </m:r>
          <m:r>
            <m:t>e</m:t>
          </m:r>
          <m:sSub>
            <m:e>
              <m:r>
                <m:t>t</m:t>
              </m:r>
            </m:e>
            <m:sub>
              <m:r>
                <m:t>t</m:t>
              </m:r>
              <m:r>
                <m:t>i</m:t>
              </m:r>
              <m:r>
                <m:t>c</m:t>
              </m:r>
              <m:r>
                <m:t>k</m:t>
              </m:r>
            </m:sub>
          </m:sSub>
          <m:r>
            <m:t>  </m:t>
          </m:r>
          <m:r>
            <m:rPr>
              <m:nor/>
              <m:sty m:val="p"/>
            </m:rPr>
            <m:t>(5.1)</m:t>
          </m:r>
        </m:oMath>
      </m:oMathPara>
    </w:p>
    <w:p>
      <w:pPr>
        <w:pStyle w:val="FirstParagraph"/>
      </w:pPr>
      <w:r>
        <w:t xml:space="preserve">Where:</w:t>
      </w:r>
    </w:p>
    <w:p>
      <w:pPr>
        <w:numPr>
          <w:ilvl w:val="0"/>
          <w:numId w:val="1002"/>
        </w:numPr>
      </w:pPr>
      <m:oMath>
        <m:sSub>
          <m:e>
            <m:r>
              <m:t>R</m:t>
            </m:r>
          </m:e>
          <m:sub>
            <m:r>
              <m:t>d</m:t>
            </m:r>
            <m:r>
              <m:t>i</m:t>
            </m:r>
            <m:r>
              <m:t>g</m:t>
            </m:r>
            <m:r>
              <m:t>e</m:t>
            </m:r>
            <m:r>
              <m:t>s</m:t>
            </m:r>
            <m:r>
              <m:t>t</m:t>
            </m:r>
          </m:sub>
        </m:sSub>
      </m:oMath>
      <w:r>
        <w:t xml:space="preserve"> </w:t>
      </w:r>
      <w:r>
        <w:t xml:space="preserve">is the digestion rate of an individual agent (g</w:t>
      </w:r>
      <w:r>
        <w:t xml:space="preserve"> </w:t>
      </w:r>
      <w:r>
        <w:t xml:space="preserve">tick⁻¹).</w:t>
      </w:r>
    </w:p>
    <w:p>
      <w:pPr>
        <w:numPr>
          <w:ilvl w:val="0"/>
          <w:numId w:val="1002"/>
        </w:numPr>
      </w:pPr>
      <m:oMath>
        <m:r>
          <m:t>M</m:t>
        </m:r>
        <m:r>
          <m:t>e</m:t>
        </m:r>
        <m:sSub>
          <m:e>
            <m:r>
              <m:t>t</m:t>
            </m:r>
          </m:e>
          <m:sub>
            <m:r>
              <m:t>b</m:t>
            </m:r>
            <m:r>
              <m:t>a</m:t>
            </m:r>
            <m:r>
              <m:t>s</m:t>
            </m:r>
            <m:r>
              <m:t>e</m:t>
            </m:r>
          </m:sub>
        </m:sSub>
      </m:oMath>
      <w:r>
        <w:t xml:space="preserve"> </w:t>
      </w:r>
      <w:r>
        <w:t xml:space="preserve">is the baseline metabolic rate used as the reference</w:t>
      </w:r>
      <w:r>
        <w:t xml:space="preserve"> </w:t>
      </w:r>
      <w:r>
        <w:t xml:space="preserve">for all energetic scaling ((energy units) tick⁻¹).</w:t>
      </w:r>
    </w:p>
    <w:p>
      <w:pPr>
        <w:pStyle w:val="FirstParagraph"/>
      </w:pPr>
      <w:r>
        <w:t xml:space="preserve">Digested mass per tick:</w:t>
      </w:r>
    </w:p>
    <w:p>
      <w:pPr>
        <w:pStyle w:val="BodyText"/>
      </w:pPr>
      <m:oMathPara>
        <m:oMathParaPr>
          <m:jc m:val="center"/>
        </m:oMathParaPr>
        <m:oMath>
          <m:sSub>
            <m:e>
              <m:r>
                <m:t>M</m:t>
              </m:r>
            </m:e>
            <m:sub>
              <m:r>
                <m:t>d</m:t>
              </m:r>
              <m:r>
                <m:t>i</m:t>
              </m:r>
              <m:r>
                <m:t>g</m:t>
              </m:r>
              <m:r>
                <m:t>e</m:t>
              </m:r>
              <m:r>
                <m:t>s</m:t>
              </m:r>
              <m:r>
                <m:t>t</m:t>
              </m:r>
              <m:r>
                <m:t>e</m:t>
              </m:r>
              <m:r>
                <m:t>d</m:t>
              </m:r>
            </m:sub>
          </m:sSub>
          <m:r>
            <m:rPr>
              <m:sty m:val="p"/>
            </m:rPr>
            <m:t>=</m:t>
          </m:r>
          <m:sSub>
            <m:e>
              <m:r>
                <m:t>M</m:t>
              </m:r>
            </m:e>
            <m:sub>
              <m:r>
                <m:t>s</m:t>
              </m:r>
              <m:r>
                <m:t>t</m:t>
              </m:r>
              <m:r>
                <m:t>o</m:t>
              </m:r>
              <m:r>
                <m:t>m</m:t>
              </m:r>
              <m:r>
                <m:t>a</m:t>
              </m:r>
              <m:r>
                <m:t>c</m:t>
              </m:r>
              <m:r>
                <m:t>h</m:t>
              </m:r>
            </m:sub>
          </m:sSub>
          <m:r>
            <m:rPr>
              <m:sty m:val="p"/>
            </m:rPr>
            <m:t>⋅</m:t>
          </m:r>
          <m:sSub>
            <m:e>
              <m:r>
                <m:t>R</m:t>
              </m:r>
            </m:e>
            <m:sub>
              <m:r>
                <m:t>d</m:t>
              </m:r>
              <m:r>
                <m:t>i</m:t>
              </m:r>
              <m:r>
                <m:t>g</m:t>
              </m:r>
              <m:r>
                <m:t>e</m:t>
              </m:r>
              <m:r>
                <m:t>s</m:t>
              </m:r>
              <m:r>
                <m:t>t</m:t>
              </m:r>
            </m:sub>
          </m:sSub>
          <m:r>
            <m:rPr>
              <m:sty m:val="p"/>
            </m:rPr>
            <m:t>⋅</m:t>
          </m:r>
          <m:r>
            <m:t>E</m:t>
          </m:r>
          <m:r>
            <m:t>f</m:t>
          </m:r>
          <m:sSub>
            <m:e>
              <m:r>
                <m:t>f</m:t>
              </m:r>
            </m:e>
            <m:sub>
              <m:r>
                <m:t>d</m:t>
              </m:r>
              <m:r>
                <m:t>i</m:t>
              </m:r>
              <m:r>
                <m:t>g</m:t>
              </m:r>
              <m:r>
                <m:t>e</m:t>
              </m:r>
              <m:r>
                <m:t>s</m:t>
              </m:r>
              <m:r>
                <m:t>t</m:t>
              </m:r>
            </m:sub>
          </m:sSub>
          <m:r>
            <m:t>  </m:t>
          </m:r>
          <m:r>
            <m:rPr>
              <m:nor/>
              <m:sty m:val="p"/>
            </m:rPr>
            <m:t>(5.2)</m:t>
          </m:r>
        </m:oMath>
      </m:oMathPara>
    </w:p>
    <w:p>
      <w:pPr>
        <w:pStyle w:val="FirstParagraph"/>
      </w:pPr>
      <w:r>
        <w:t xml:space="preserve">Where:</w:t>
      </w:r>
    </w:p>
    <w:p>
      <w:pPr>
        <w:numPr>
          <w:ilvl w:val="0"/>
          <w:numId w:val="1003"/>
        </w:numPr>
      </w:pPr>
      <m:oMath>
        <m:sSub>
          <m:e>
            <m:r>
              <m:t>M</m:t>
            </m:r>
          </m:e>
          <m:sub>
            <m:r>
              <m:t>d</m:t>
            </m:r>
            <m:r>
              <m:t>i</m:t>
            </m:r>
            <m:r>
              <m:t>g</m:t>
            </m:r>
            <m:r>
              <m:t>e</m:t>
            </m:r>
            <m:r>
              <m:t>s</m:t>
            </m:r>
            <m:r>
              <m:t>t</m:t>
            </m:r>
            <m:r>
              <m:t>e</m:t>
            </m:r>
            <m:r>
              <m:t>d</m:t>
            </m:r>
          </m:sub>
        </m:sSub>
      </m:oMath>
      <w:r>
        <w:t xml:space="preserve"> </w:t>
      </w:r>
      <w:r>
        <w:t xml:space="preserve">is the biomass digested during the current tick (g).</w:t>
      </w:r>
    </w:p>
    <w:p>
      <w:pPr>
        <w:numPr>
          <w:ilvl w:val="0"/>
          <w:numId w:val="1003"/>
        </w:numPr>
      </w:pPr>
      <m:oMath>
        <m:sSub>
          <m:e>
            <m:r>
              <m:t>M</m:t>
            </m:r>
          </m:e>
          <m:sub>
            <m:r>
              <m:t>s</m:t>
            </m:r>
            <m:r>
              <m:t>t</m:t>
            </m:r>
            <m:r>
              <m:t>o</m:t>
            </m:r>
            <m:r>
              <m:t>m</m:t>
            </m:r>
            <m:r>
              <m:t>a</m:t>
            </m:r>
            <m:r>
              <m:t>c</m:t>
            </m:r>
            <m:r>
              <m:t>h</m:t>
            </m:r>
          </m:sub>
        </m:sSub>
      </m:oMath>
      <w:r>
        <w:t xml:space="preserve"> </w:t>
      </w:r>
      <w:r>
        <w:t xml:space="preserve">is the biomass currently stored in the stomach (g).</w:t>
      </w:r>
    </w:p>
    <w:p>
      <w:pPr>
        <w:numPr>
          <w:ilvl w:val="0"/>
          <w:numId w:val="1003"/>
        </w:numPr>
      </w:pPr>
      <m:oMath>
        <m:sSub>
          <m:e>
            <m:r>
              <m:t>R</m:t>
            </m:r>
          </m:e>
          <m:sub>
            <m:r>
              <m:t>d</m:t>
            </m:r>
            <m:r>
              <m:t>i</m:t>
            </m:r>
            <m:r>
              <m:t>g</m:t>
            </m:r>
            <m:r>
              <m:t>e</m:t>
            </m:r>
            <m:r>
              <m:t>s</m:t>
            </m:r>
            <m:r>
              <m:t>t</m:t>
            </m:r>
          </m:sub>
        </m:sSub>
      </m:oMath>
      <w:r>
        <w:t xml:space="preserve"> </w:t>
      </w:r>
      <w:r>
        <w:t xml:space="preserve">is the digestion rate of an individual agent (g</w:t>
      </w:r>
      <w:r>
        <w:t xml:space="preserve"> </w:t>
      </w:r>
      <w:r>
        <w:t xml:space="preserve">tick⁻¹).</w:t>
      </w:r>
    </w:p>
    <w:p>
      <w:pPr>
        <w:numPr>
          <w:ilvl w:val="0"/>
          <w:numId w:val="1003"/>
        </w:numPr>
      </w:pPr>
      <m:oMath>
        <m:r>
          <m:t>E</m:t>
        </m:r>
        <m:r>
          <m:t>f</m:t>
        </m:r>
        <m:sSub>
          <m:e>
            <m:r>
              <m:t>f</m:t>
            </m:r>
          </m:e>
          <m:sub>
            <m:r>
              <m:t>d</m:t>
            </m:r>
            <m:r>
              <m:t>i</m:t>
            </m:r>
            <m:r>
              <m:t>g</m:t>
            </m:r>
            <m:r>
              <m:t>e</m:t>
            </m:r>
            <m:r>
              <m:t>s</m:t>
            </m:r>
            <m:r>
              <m:t>t</m:t>
            </m:r>
          </m:sub>
        </m:sSub>
      </m:oMath>
      <w:r>
        <w:t xml:space="preserve"> </w:t>
      </w:r>
      <w:r>
        <w:t xml:space="preserve">is the efficiency factor controlling digestion and</w:t>
      </w:r>
      <w:r>
        <w:t xml:space="preserve"> </w:t>
      </w:r>
      <w:r>
        <w:t xml:space="preserve">filtration (%).</w:t>
      </w:r>
    </w:p>
    <w:p>
      <w:pPr>
        <w:pStyle w:val="FirstParagraph"/>
      </w:pPr>
      <w:r>
        <w:t xml:space="preserve">Proportional mercury assimilation:</w:t>
      </w:r>
    </w:p>
    <w:p>
      <w:pPr>
        <w:pStyle w:val="BodyText"/>
      </w:pPr>
      <m:oMathPara>
        <m:oMathParaPr>
          <m:jc m:val="center"/>
        </m:oMathParaPr>
        <m:oMath>
          <m:r>
            <m:t>M</m:t>
          </m:r>
          <m:r>
            <m:t>e</m:t>
          </m:r>
          <m:r>
            <m:t>H</m:t>
          </m:r>
          <m:sSub>
            <m:e>
              <m:r>
                <m:t>g</m:t>
              </m:r>
            </m:e>
            <m:sub>
              <m:r>
                <m:t>d</m:t>
              </m:r>
              <m:r>
                <m:t>i</m:t>
              </m:r>
              <m:r>
                <m:t>g</m:t>
              </m:r>
              <m:r>
                <m:t>e</m:t>
              </m:r>
              <m:r>
                <m:t>s</m:t>
              </m:r>
              <m:r>
                <m:t>t</m:t>
              </m:r>
              <m:r>
                <m:t>e</m:t>
              </m:r>
              <m:r>
                <m:t>d</m:t>
              </m:r>
            </m:sub>
          </m:sSub>
          <m:r>
            <m:rPr>
              <m:sty m:val="p"/>
            </m:rPr>
            <m:t>=</m:t>
          </m:r>
          <m:d>
            <m:dPr>
              <m:begChr m:val="("/>
              <m:sepChr m:val=""/>
              <m:endChr m:val=")"/>
              <m:grow/>
            </m:dPr>
            <m:e>
              <m:f>
                <m:fPr>
                  <m:type m:val="bar"/>
                </m:fPr>
                <m:num>
                  <m:sSub>
                    <m:e>
                      <m:r>
                        <m:t>M</m:t>
                      </m:r>
                    </m:e>
                    <m:sub>
                      <m:r>
                        <m:t>d</m:t>
                      </m:r>
                      <m:r>
                        <m:t>i</m:t>
                      </m:r>
                      <m:r>
                        <m:t>g</m:t>
                      </m:r>
                      <m:r>
                        <m:t>e</m:t>
                      </m:r>
                      <m:r>
                        <m:t>s</m:t>
                      </m:r>
                      <m:r>
                        <m:t>t</m:t>
                      </m:r>
                      <m:r>
                        <m:t>e</m:t>
                      </m:r>
                      <m:r>
                        <m:t>d</m:t>
                      </m:r>
                    </m:sub>
                  </m:sSub>
                </m:num>
                <m:den>
                  <m:sSub>
                    <m:e>
                      <m:r>
                        <m:t>M</m:t>
                      </m:r>
                    </m:e>
                    <m:sub>
                      <m:r>
                        <m:t>s</m:t>
                      </m:r>
                      <m:r>
                        <m:t>t</m:t>
                      </m:r>
                      <m:r>
                        <m:t>o</m:t>
                      </m:r>
                      <m:r>
                        <m:t>m</m:t>
                      </m:r>
                      <m:r>
                        <m:t>a</m:t>
                      </m:r>
                      <m:r>
                        <m:t>c</m:t>
                      </m:r>
                      <m:r>
                        <m:t>h</m:t>
                      </m:r>
                    </m:sub>
                  </m:sSub>
                </m:den>
              </m:f>
            </m:e>
          </m:d>
          <m:r>
            <m:rPr>
              <m:sty m:val="p"/>
            </m:rPr>
            <m:t>⋅</m:t>
          </m:r>
          <m:r>
            <m:t>M</m:t>
          </m:r>
          <m:r>
            <m:t>e</m:t>
          </m:r>
          <m:r>
            <m:t>H</m:t>
          </m:r>
          <m:sSub>
            <m:e>
              <m:r>
                <m:t>g</m:t>
              </m:r>
            </m:e>
            <m:sub>
              <m:r>
                <m:t>s</m:t>
              </m:r>
              <m:r>
                <m:t>t</m:t>
              </m:r>
              <m:r>
                <m:t>o</m:t>
              </m:r>
              <m:r>
                <m:t>m</m:t>
              </m:r>
              <m:r>
                <m:t>a</m:t>
              </m:r>
              <m:r>
                <m:t>c</m:t>
              </m:r>
              <m:r>
                <m:t>h</m:t>
              </m:r>
            </m:sub>
          </m:sSub>
          <m:r>
            <m:t>  </m:t>
          </m:r>
          <m:r>
            <m:rPr>
              <m:nor/>
              <m:sty m:val="p"/>
            </m:rPr>
            <m:t>(5.3)</m:t>
          </m:r>
        </m:oMath>
      </m:oMathPara>
    </w:p>
    <w:p>
      <w:pPr>
        <w:pStyle w:val="FirstParagraph"/>
      </w:pPr>
      <w:r>
        <w:t xml:space="preserve">Where:</w:t>
      </w:r>
    </w:p>
    <w:p>
      <w:pPr>
        <w:numPr>
          <w:ilvl w:val="0"/>
          <w:numId w:val="1004"/>
        </w:numPr>
      </w:pPr>
      <m:oMath>
        <m:r>
          <m:t>M</m:t>
        </m:r>
        <m:r>
          <m:t>e</m:t>
        </m:r>
        <m:r>
          <m:t>H</m:t>
        </m:r>
        <m:sSub>
          <m:e>
            <m:r>
              <m:t>g</m:t>
            </m:r>
          </m:e>
          <m:sub>
            <m:r>
              <m:t>d</m:t>
            </m:r>
            <m:r>
              <m:t>i</m:t>
            </m:r>
            <m:r>
              <m:t>g</m:t>
            </m:r>
            <m:r>
              <m:t>e</m:t>
            </m:r>
            <m:r>
              <m:t>s</m:t>
            </m:r>
            <m:r>
              <m:t>t</m:t>
            </m:r>
            <m:r>
              <m:t>e</m:t>
            </m:r>
            <m:r>
              <m:t>d</m:t>
            </m:r>
          </m:sub>
        </m:sSub>
      </m:oMath>
      <w:r>
        <w:t xml:space="preserve"> </w:t>
      </w:r>
      <w:r>
        <w:t xml:space="preserve">is the methylmercury assimilated during digestion</w:t>
      </w:r>
      <w:r>
        <w:t xml:space="preserve"> </w:t>
      </w:r>
      <w:r>
        <w:t xml:space="preserve">(ng).</w:t>
      </w:r>
    </w:p>
    <w:p>
      <w:pPr>
        <w:numPr>
          <w:ilvl w:val="0"/>
          <w:numId w:val="1004"/>
        </w:numPr>
      </w:pPr>
      <m:oMath>
        <m:sSub>
          <m:e>
            <m:r>
              <m:t>M</m:t>
            </m:r>
          </m:e>
          <m:sub>
            <m:r>
              <m:t>d</m:t>
            </m:r>
            <m:r>
              <m:t>i</m:t>
            </m:r>
            <m:r>
              <m:t>g</m:t>
            </m:r>
            <m:r>
              <m:t>e</m:t>
            </m:r>
            <m:r>
              <m:t>s</m:t>
            </m:r>
            <m:r>
              <m:t>t</m:t>
            </m:r>
            <m:r>
              <m:t>e</m:t>
            </m:r>
            <m:r>
              <m:t>d</m:t>
            </m:r>
          </m:sub>
        </m:sSub>
      </m:oMath>
      <w:r>
        <w:t xml:space="preserve"> </w:t>
      </w:r>
      <w:r>
        <w:t xml:space="preserve">is the biomass digested during the current tick (g).</w:t>
      </w:r>
    </w:p>
    <w:p>
      <w:pPr>
        <w:numPr>
          <w:ilvl w:val="0"/>
          <w:numId w:val="1004"/>
        </w:numPr>
      </w:pPr>
      <m:oMath>
        <m:sSub>
          <m:e>
            <m:r>
              <m:t>M</m:t>
            </m:r>
          </m:e>
          <m:sub>
            <m:r>
              <m:t>s</m:t>
            </m:r>
            <m:r>
              <m:t>t</m:t>
            </m:r>
            <m:r>
              <m:t>o</m:t>
            </m:r>
            <m:r>
              <m:t>m</m:t>
            </m:r>
            <m:r>
              <m:t>a</m:t>
            </m:r>
            <m:r>
              <m:t>c</m:t>
            </m:r>
            <m:r>
              <m:t>h</m:t>
            </m:r>
          </m:sub>
        </m:sSub>
      </m:oMath>
      <w:r>
        <w:t xml:space="preserve"> </w:t>
      </w:r>
      <w:r>
        <w:t xml:space="preserve">is the biomass currently stored in the stomach (g).</w:t>
      </w:r>
    </w:p>
    <w:p>
      <w:pPr>
        <w:numPr>
          <w:ilvl w:val="0"/>
          <w:numId w:val="1004"/>
        </w:numPr>
      </w:pPr>
      <m:oMath>
        <m:r>
          <m:t>M</m:t>
        </m:r>
        <m:r>
          <m:t>e</m:t>
        </m:r>
        <m:r>
          <m:t>H</m:t>
        </m:r>
        <m:sSub>
          <m:e>
            <m:r>
              <m:t>g</m:t>
            </m:r>
          </m:e>
          <m:sub>
            <m:r>
              <m:t>s</m:t>
            </m:r>
            <m:r>
              <m:t>t</m:t>
            </m:r>
            <m:r>
              <m:t>o</m:t>
            </m:r>
            <m:r>
              <m:t>m</m:t>
            </m:r>
            <m:r>
              <m:t>a</m:t>
            </m:r>
            <m:r>
              <m:t>c</m:t>
            </m:r>
            <m:r>
              <m:t>h</m:t>
            </m:r>
          </m:sub>
        </m:sSub>
      </m:oMath>
      <w:r>
        <w:t xml:space="preserve"> </w:t>
      </w:r>
      <w:r>
        <w:t xml:space="preserve">is the methylmercury currently stored in the</w:t>
      </w:r>
      <w:r>
        <w:t xml:space="preserve"> </w:t>
      </w:r>
      <w:r>
        <w:t xml:space="preserve">stomach (ng).</w:t>
      </w:r>
    </w:p>
    <w:p>
      <w:pPr>
        <w:pStyle w:val="FirstParagraph"/>
      </w:pPr>
      <w:r>
        <w:t xml:space="preserve">Updated stomach contents:</w:t>
      </w:r>
    </w:p>
    <w:p>
      <w:pPr>
        <w:pStyle w:val="BodyText"/>
      </w:pPr>
      <m:oMathPara>
        <m:oMathParaPr>
          <m:jc m:val="center"/>
        </m:oMathParaPr>
        <m:oMath>
          <m:sSub>
            <m:e>
              <m:r>
                <m:t>M</m:t>
              </m:r>
            </m:e>
            <m:sub>
              <m:r>
                <m:t>s</m:t>
              </m:r>
              <m:r>
                <m:t>t</m:t>
              </m:r>
              <m:r>
                <m:t>o</m:t>
              </m:r>
              <m:r>
                <m:t>m</m:t>
              </m:r>
              <m:r>
                <m:t>a</m:t>
              </m:r>
              <m:r>
                <m:t>c</m:t>
              </m:r>
              <m:r>
                <m:t>h</m:t>
              </m:r>
            </m:sub>
          </m:sSub>
          <m:r>
            <m:rPr>
              <m:sty m:val="p"/>
            </m:rPr>
            <m:t>=</m:t>
          </m:r>
          <m:sSub>
            <m:e>
              <m:r>
                <m:t>M</m:t>
              </m:r>
            </m:e>
            <m:sub>
              <m:r>
                <m:t>s</m:t>
              </m:r>
              <m:r>
                <m:t>t</m:t>
              </m:r>
              <m:r>
                <m:t>o</m:t>
              </m:r>
              <m:r>
                <m:t>m</m:t>
              </m:r>
              <m:r>
                <m:t>a</m:t>
              </m:r>
              <m:r>
                <m:t>c</m:t>
              </m:r>
              <m:r>
                <m:t>h</m:t>
              </m:r>
            </m:sub>
          </m:sSub>
          <m:r>
            <m:rPr>
              <m:sty m:val="p"/>
            </m:rPr>
            <m:t>−</m:t>
          </m:r>
          <m:sSub>
            <m:e>
              <m:r>
                <m:t>M</m:t>
              </m:r>
            </m:e>
            <m:sub>
              <m:r>
                <m:t>d</m:t>
              </m:r>
              <m:r>
                <m:t>i</m:t>
              </m:r>
              <m:r>
                <m:t>g</m:t>
              </m:r>
              <m:r>
                <m:t>e</m:t>
              </m:r>
              <m:r>
                <m:t>s</m:t>
              </m:r>
              <m:r>
                <m:t>t</m:t>
              </m:r>
              <m:r>
                <m:t>e</m:t>
              </m:r>
              <m:r>
                <m:t>d</m:t>
              </m:r>
            </m:sub>
          </m:sSub>
          <m:r>
            <m:t>  </m:t>
          </m:r>
          <m:r>
            <m:rPr>
              <m:nor/>
              <m:sty m:val="p"/>
            </m:rPr>
            <m:t>(5.4)</m:t>
          </m:r>
        </m:oMath>
      </m:oMathPara>
    </w:p>
    <w:p>
      <w:pPr>
        <w:pStyle w:val="FirstParagraph"/>
      </w:pPr>
      <w:r>
        <w:t xml:space="preserve">Where:</w:t>
      </w:r>
    </w:p>
    <w:p>
      <w:pPr>
        <w:numPr>
          <w:ilvl w:val="0"/>
          <w:numId w:val="1005"/>
        </w:numPr>
      </w:pPr>
      <m:oMath>
        <m:sSub>
          <m:e>
            <m:r>
              <m:t>M</m:t>
            </m:r>
          </m:e>
          <m:sub>
            <m:r>
              <m:t>d</m:t>
            </m:r>
            <m:r>
              <m:t>i</m:t>
            </m:r>
            <m:r>
              <m:t>g</m:t>
            </m:r>
            <m:r>
              <m:t>e</m:t>
            </m:r>
            <m:r>
              <m:t>s</m:t>
            </m:r>
            <m:r>
              <m:t>t</m:t>
            </m:r>
            <m:r>
              <m:t>e</m:t>
            </m:r>
            <m:r>
              <m:t>d</m:t>
            </m:r>
          </m:sub>
        </m:sSub>
      </m:oMath>
      <w:r>
        <w:t xml:space="preserve"> </w:t>
      </w:r>
      <w:r>
        <w:t xml:space="preserve">is the biomass digested during the current tick (g).</w:t>
      </w:r>
    </w:p>
    <w:p>
      <w:pPr>
        <w:numPr>
          <w:ilvl w:val="0"/>
          <w:numId w:val="1005"/>
        </w:numPr>
      </w:pPr>
      <m:oMath>
        <m:sSub>
          <m:e>
            <m:r>
              <m:t>M</m:t>
            </m:r>
          </m:e>
          <m:sub>
            <m:r>
              <m:t>s</m:t>
            </m:r>
            <m:r>
              <m:t>t</m:t>
            </m:r>
            <m:r>
              <m:t>o</m:t>
            </m:r>
            <m:r>
              <m:t>m</m:t>
            </m:r>
            <m:r>
              <m:t>a</m:t>
            </m:r>
            <m:r>
              <m:t>c</m:t>
            </m:r>
            <m:r>
              <m:t>h</m:t>
            </m:r>
          </m:sub>
        </m:sSub>
      </m:oMath>
      <w:r>
        <w:t xml:space="preserve"> </w:t>
      </w:r>
      <w:r>
        <w:t xml:space="preserve">is the biomass currently stored in the stomach (g).</w:t>
      </w:r>
    </w:p>
    <w:bookmarkEnd w:id="19"/>
    <w:bookmarkStart w:id="20" w:name="energy-conversion"/>
    <w:p>
      <w:pPr>
        <w:pStyle w:val="Heading3"/>
      </w:pPr>
      <w:r>
        <w:t xml:space="preserve">Energy Conversion</w:t>
      </w:r>
    </w:p>
    <w:p>
      <w:pPr>
        <w:pStyle w:val="FirstParagraph"/>
      </w:pPr>
      <w:r>
        <w:t xml:space="preserve">Energy gained from digestion:</w:t>
      </w:r>
    </w:p>
    <w:p>
      <w:pPr>
        <w:pStyle w:val="BodyText"/>
      </w:pPr>
      <m:oMathPara>
        <m:oMathParaPr>
          <m:jc m:val="center"/>
        </m:oMathParaPr>
        <m:oMath>
          <m:sSub>
            <m:e>
              <m:r>
                <m:t>E</m:t>
              </m:r>
            </m:e>
            <m:sub>
              <m:r>
                <m:t>g</m:t>
              </m:r>
              <m:r>
                <m:t>a</m:t>
              </m:r>
              <m:r>
                <m:t>i</m:t>
              </m:r>
              <m:r>
                <m:t>n</m:t>
              </m:r>
            </m:sub>
          </m:sSub>
          <m:r>
            <m:rPr>
              <m:sty m:val="p"/>
            </m:rPr>
            <m:t>=</m:t>
          </m:r>
          <m:sSub>
            <m:e>
              <m:r>
                <m:t>M</m:t>
              </m:r>
            </m:e>
            <m:sub>
              <m:r>
                <m:t>d</m:t>
              </m:r>
              <m:r>
                <m:t>i</m:t>
              </m:r>
              <m:r>
                <m:t>g</m:t>
              </m:r>
              <m:r>
                <m:t>e</m:t>
              </m:r>
              <m:r>
                <m:t>s</m:t>
              </m:r>
              <m:r>
                <m:t>t</m:t>
              </m:r>
              <m:r>
                <m:t>e</m:t>
              </m:r>
              <m:r>
                <m:t>d</m:t>
              </m:r>
            </m:sub>
          </m:sSub>
          <m:r>
            <m:rPr>
              <m:sty m:val="p"/>
            </m:rPr>
            <m:t>⋅</m:t>
          </m:r>
          <m:r>
            <m:t>100</m:t>
          </m:r>
          <m:r>
            <m:t>  </m:t>
          </m:r>
          <m:r>
            <m:rPr>
              <m:nor/>
              <m:sty m:val="p"/>
            </m:rPr>
            <m:t>(5.5)</m:t>
          </m:r>
        </m:oMath>
      </m:oMathPara>
    </w:p>
    <w:p>
      <w:pPr>
        <w:pStyle w:val="FirstParagraph"/>
      </w:pPr>
      <w:r>
        <w:t xml:space="preserve">Where:</w:t>
      </w:r>
    </w:p>
    <w:p>
      <w:pPr>
        <w:numPr>
          <w:ilvl w:val="0"/>
          <w:numId w:val="1006"/>
        </w:numPr>
      </w:pPr>
      <m:oMath>
        <m:sSub>
          <m:e>
            <m:r>
              <m:t>E</m:t>
            </m:r>
          </m:e>
          <m:sub>
            <m:r>
              <m:t>g</m:t>
            </m:r>
            <m:r>
              <m:t>a</m:t>
            </m:r>
            <m:r>
              <m:t>i</m:t>
            </m:r>
            <m:r>
              <m:t>n</m:t>
            </m:r>
          </m:sub>
        </m:sSub>
      </m:oMath>
      <w:r>
        <w:t xml:space="preserve"> </w:t>
      </w:r>
      <w:r>
        <w:t xml:space="preserve">is the energy gained from digested biomass (energy</w:t>
      </w:r>
      <w:r>
        <w:t xml:space="preserve"> </w:t>
      </w:r>
      <w:r>
        <w:t xml:space="preserve">units).</w:t>
      </w:r>
    </w:p>
    <w:p>
      <w:pPr>
        <w:numPr>
          <w:ilvl w:val="0"/>
          <w:numId w:val="1006"/>
        </w:numPr>
      </w:pPr>
      <m:oMath>
        <m:sSub>
          <m:e>
            <m:r>
              <m:t>M</m:t>
            </m:r>
          </m:e>
          <m:sub>
            <m:r>
              <m:t>d</m:t>
            </m:r>
            <m:r>
              <m:t>i</m:t>
            </m:r>
            <m:r>
              <m:t>g</m:t>
            </m:r>
            <m:r>
              <m:t>e</m:t>
            </m:r>
            <m:r>
              <m:t>s</m:t>
            </m:r>
            <m:r>
              <m:t>t</m:t>
            </m:r>
            <m:r>
              <m:t>e</m:t>
            </m:r>
            <m:r>
              <m:t>d</m:t>
            </m:r>
          </m:sub>
        </m:sSub>
      </m:oMath>
      <w:r>
        <w:t xml:space="preserve"> </w:t>
      </w:r>
      <w:r>
        <w:t xml:space="preserve">is the biomass digested during the current tick (g).</w:t>
      </w:r>
    </w:p>
    <w:p>
      <w:pPr>
        <w:pStyle w:val="FirstParagraph"/>
      </w:pPr>
      <w:r>
        <w:t xml:space="preserve">Updated energy pool:</w:t>
      </w:r>
    </w:p>
    <w:p>
      <w:pPr>
        <w:pStyle w:val="BodyText"/>
      </w:pPr>
      <m:oMathPara>
        <m:oMathParaPr>
          <m:jc m:val="center"/>
        </m:oMathParaPr>
        <m:oMath>
          <m:sSub>
            <m:e>
              <m:r>
                <m:t>E</m:t>
              </m:r>
            </m:e>
            <m:sub>
              <m:r>
                <m:t>a</m:t>
              </m:r>
              <m:r>
                <m:t>g</m:t>
              </m:r>
              <m:r>
                <m:t>e</m:t>
              </m:r>
              <m:r>
                <m:t>n</m:t>
              </m:r>
              <m:r>
                <m:t>t</m:t>
              </m:r>
            </m:sub>
          </m:sSub>
          <m:r>
            <m:rPr>
              <m:sty m:val="p"/>
            </m:rPr>
            <m:t>=</m:t>
          </m:r>
          <m:sSub>
            <m:e>
              <m:r>
                <m:t>E</m:t>
              </m:r>
            </m:e>
            <m:sub>
              <m:r>
                <m:t>a</m:t>
              </m:r>
              <m:r>
                <m:t>g</m:t>
              </m:r>
              <m:r>
                <m:t>e</m:t>
              </m:r>
              <m:r>
                <m:t>n</m:t>
              </m:r>
              <m:r>
                <m:t>t</m:t>
              </m:r>
            </m:sub>
          </m:sSub>
          <m:r>
            <m:rPr>
              <m:sty m:val="p"/>
            </m:rPr>
            <m:t>+</m:t>
          </m:r>
          <m:sSub>
            <m:e>
              <m:r>
                <m:t>E</m:t>
              </m:r>
            </m:e>
            <m:sub>
              <m:r>
                <m:t>g</m:t>
              </m:r>
              <m:r>
                <m:t>a</m:t>
              </m:r>
              <m:r>
                <m:t>i</m:t>
              </m:r>
              <m:r>
                <m:t>n</m:t>
              </m:r>
            </m:sub>
          </m:sSub>
          <m:r>
            <m:t>  </m:t>
          </m:r>
          <m:r>
            <m:rPr>
              <m:nor/>
              <m:sty m:val="p"/>
            </m:rPr>
            <m:t>(5.6)</m:t>
          </m:r>
        </m:oMath>
      </m:oMathPara>
    </w:p>
    <w:p>
      <w:pPr>
        <w:pStyle w:val="FirstParagraph"/>
      </w:pPr>
      <w:r>
        <w:t xml:space="preserve">Where:</w:t>
      </w:r>
    </w:p>
    <w:p>
      <w:pPr>
        <w:numPr>
          <w:ilvl w:val="0"/>
          <w:numId w:val="1007"/>
        </w:numPr>
      </w:pPr>
      <m:oMath>
        <m:sSub>
          <m:e>
            <m:r>
              <m:t>E</m:t>
            </m:r>
          </m:e>
          <m:sub>
            <m:r>
              <m:t>a</m:t>
            </m:r>
            <m:r>
              <m:t>g</m:t>
            </m:r>
            <m:r>
              <m:t>e</m:t>
            </m:r>
            <m:r>
              <m:t>n</m:t>
            </m:r>
            <m:r>
              <m:t>t</m:t>
            </m:r>
          </m:sub>
        </m:sSub>
      </m:oMath>
      <w:r>
        <w:t xml:space="preserve"> </w:t>
      </w:r>
      <w:r>
        <w:t xml:space="preserve">is the total internal energy available to the agent</w:t>
      </w:r>
      <w:r>
        <w:t xml:space="preserve"> </w:t>
      </w:r>
      <w:r>
        <w:t xml:space="preserve">(energy units).</w:t>
      </w:r>
    </w:p>
    <w:p>
      <w:pPr>
        <w:numPr>
          <w:ilvl w:val="0"/>
          <w:numId w:val="1007"/>
        </w:numPr>
      </w:pPr>
      <m:oMath>
        <m:sSub>
          <m:e>
            <m:r>
              <m:t>E</m:t>
            </m:r>
          </m:e>
          <m:sub>
            <m:r>
              <m:t>g</m:t>
            </m:r>
            <m:r>
              <m:t>a</m:t>
            </m:r>
            <m:r>
              <m:t>i</m:t>
            </m:r>
            <m:r>
              <m:t>n</m:t>
            </m:r>
          </m:sub>
        </m:sSub>
      </m:oMath>
      <w:r>
        <w:t xml:space="preserve"> </w:t>
      </w:r>
      <w:r>
        <w:t xml:space="preserve">is the energy gained from digested biomass (energy</w:t>
      </w:r>
      <w:r>
        <w:t xml:space="preserve"> </w:t>
      </w:r>
      <w:r>
        <w:t xml:space="preserve">units).</w:t>
      </w:r>
    </w:p>
    <w:bookmarkEnd w:id="20"/>
    <w:bookmarkStart w:id="21" w:name="contaminant-assimilation"/>
    <w:p>
      <w:pPr>
        <w:pStyle w:val="Heading3"/>
      </w:pPr>
      <w:r>
        <w:t xml:space="preserve">Contaminant Assimilation</w:t>
      </w:r>
    </w:p>
    <w:p>
      <w:pPr>
        <w:pStyle w:val="FirstParagraph"/>
      </w:pPr>
      <w:r>
        <w:t xml:space="preserve">Contaminants absorbed during digestion:</w:t>
      </w:r>
    </w:p>
    <w:p>
      <w:pPr>
        <w:pStyle w:val="BodyText"/>
      </w:pPr>
      <m:oMathPara>
        <m:oMathParaPr>
          <m:jc m:val="center"/>
        </m:oMathParaPr>
        <m:oMath>
          <m:r>
            <m:t>M</m:t>
          </m:r>
          <m:r>
            <m:t>e</m:t>
          </m:r>
          <m:r>
            <m:t>H</m:t>
          </m:r>
          <m:sSub>
            <m:e>
              <m:r>
                <m:t>g</m:t>
              </m:r>
            </m:e>
            <m:sub>
              <m:r>
                <m:t>f</m:t>
              </m:r>
              <m:r>
                <m:t>o</m:t>
              </m:r>
              <m:r>
                <m:t>r</m:t>
              </m:r>
              <m:r>
                <m:t>a</m:t>
              </m:r>
              <m:r>
                <m:t>g</m:t>
              </m:r>
              <m:r>
                <m:t>e</m:t>
              </m:r>
            </m:sub>
          </m:sSub>
          <m:r>
            <m:rPr>
              <m:sty m:val="p"/>
            </m:rPr>
            <m:t>=</m:t>
          </m:r>
          <m:r>
            <m:t>M</m:t>
          </m:r>
          <m:r>
            <m:t>e</m:t>
          </m:r>
          <m:r>
            <m:t>H</m:t>
          </m:r>
          <m:sSub>
            <m:e>
              <m:r>
                <m:t>g</m:t>
              </m:r>
            </m:e>
            <m:sub>
              <m:r>
                <m:t>f</m:t>
              </m:r>
              <m:r>
                <m:t>o</m:t>
              </m:r>
              <m:r>
                <m:t>r</m:t>
              </m:r>
              <m:r>
                <m:t>a</m:t>
              </m:r>
              <m:r>
                <m:t>g</m:t>
              </m:r>
              <m:r>
                <m:t>e</m:t>
              </m:r>
            </m:sub>
          </m:sSub>
          <m:r>
            <m:rPr>
              <m:sty m:val="p"/>
            </m:rPr>
            <m:t>+</m:t>
          </m:r>
          <m:r>
            <m:t>M</m:t>
          </m:r>
          <m:r>
            <m:t>e</m:t>
          </m:r>
          <m:r>
            <m:t>H</m:t>
          </m:r>
          <m:sSub>
            <m:e>
              <m:r>
                <m:t>g</m:t>
              </m:r>
            </m:e>
            <m:sub>
              <m:r>
                <m:t>d</m:t>
              </m:r>
              <m:r>
                <m:t>i</m:t>
              </m:r>
              <m:r>
                <m:t>g</m:t>
              </m:r>
              <m:r>
                <m:t>e</m:t>
              </m:r>
              <m:r>
                <m:t>s</m:t>
              </m:r>
              <m:r>
                <m:t>t</m:t>
              </m:r>
              <m:r>
                <m:t>e</m:t>
              </m:r>
              <m:r>
                <m:t>d</m:t>
              </m:r>
            </m:sub>
          </m:sSub>
          <m:r>
            <m:t>  </m:t>
          </m:r>
          <m:r>
            <m:rPr>
              <m:nor/>
              <m:sty m:val="p"/>
            </m:rPr>
            <m:t>(5.7)</m:t>
          </m:r>
        </m:oMath>
      </m:oMathPara>
    </w:p>
    <w:p>
      <w:pPr>
        <w:pStyle w:val="FirstParagraph"/>
      </w:pPr>
      <w:r>
        <w:t xml:space="preserve">Where:</w:t>
      </w:r>
    </w:p>
    <w:p>
      <w:pPr>
        <w:numPr>
          <w:ilvl w:val="0"/>
          <w:numId w:val="1008"/>
        </w:numPr>
      </w:pPr>
      <m:oMath>
        <m:r>
          <m:t>M</m:t>
        </m:r>
        <m:r>
          <m:t>e</m:t>
        </m:r>
        <m:r>
          <m:t>H</m:t>
        </m:r>
        <m:sSub>
          <m:e>
            <m:r>
              <m:t>g</m:t>
            </m:r>
          </m:e>
          <m:sub>
            <m:r>
              <m:t>f</m:t>
            </m:r>
            <m:r>
              <m:t>o</m:t>
            </m:r>
            <m:r>
              <m:t>r</m:t>
            </m:r>
            <m:r>
              <m:t>a</m:t>
            </m:r>
            <m:r>
              <m:t>g</m:t>
            </m:r>
            <m:r>
              <m:t>e</m:t>
            </m:r>
          </m:sub>
        </m:sSub>
      </m:oMath>
      <w:r>
        <w:t xml:space="preserve"> </w:t>
      </w:r>
      <w:r>
        <w:t xml:space="preserve">is the cumulative methylmercury uptake via feeding</w:t>
      </w:r>
      <w:r>
        <w:t xml:space="preserve"> </w:t>
      </w:r>
      <w:r>
        <w:t xml:space="preserve">(ng).</w:t>
      </w:r>
    </w:p>
    <w:p>
      <w:pPr>
        <w:numPr>
          <w:ilvl w:val="0"/>
          <w:numId w:val="1008"/>
        </w:numPr>
      </w:pPr>
      <m:oMath>
        <m:r>
          <m:t>M</m:t>
        </m:r>
        <m:r>
          <m:t>e</m:t>
        </m:r>
        <m:r>
          <m:t>H</m:t>
        </m:r>
        <m:sSub>
          <m:e>
            <m:r>
              <m:t>g</m:t>
            </m:r>
          </m:e>
          <m:sub>
            <m:r>
              <m:t>d</m:t>
            </m:r>
            <m:r>
              <m:t>i</m:t>
            </m:r>
            <m:r>
              <m:t>g</m:t>
            </m:r>
            <m:r>
              <m:t>e</m:t>
            </m:r>
            <m:r>
              <m:t>s</m:t>
            </m:r>
            <m:r>
              <m:t>t</m:t>
            </m:r>
            <m:r>
              <m:t>e</m:t>
            </m:r>
            <m:r>
              <m:t>d</m:t>
            </m:r>
          </m:sub>
        </m:sSub>
      </m:oMath>
      <w:r>
        <w:t xml:space="preserve"> </w:t>
      </w:r>
      <w:r>
        <w:t xml:space="preserve">is the methylmercury assimilated during digestion</w:t>
      </w:r>
      <w:r>
        <w:t xml:space="preserve"> </w:t>
      </w:r>
      <w:r>
        <w:t xml:space="preserve">(ng).</w:t>
      </w:r>
    </w:p>
    <w:p>
      <w:pPr>
        <w:pStyle w:val="FirstParagraph"/>
      </w:pPr>
      <w:r>
        <w:t xml:space="preserve">Accumulated body burden:</w:t>
      </w:r>
    </w:p>
    <w:p>
      <w:pPr>
        <w:pStyle w:val="BodyText"/>
      </w:pPr>
      <m:oMathPara>
        <m:oMathParaPr>
          <m:jc m:val="center"/>
        </m:oMathParaPr>
        <m:oMath>
          <m:r>
            <m:t>M</m:t>
          </m:r>
          <m:r>
            <m:t>e</m:t>
          </m:r>
          <m:r>
            <m:t>H</m:t>
          </m:r>
          <m:sSub>
            <m:e>
              <m:r>
                <m:t>g</m:t>
              </m:r>
            </m:e>
            <m:sub>
              <m:r>
                <m:t>t</m:t>
              </m:r>
              <m:r>
                <m:t>o</m:t>
              </m:r>
              <m:r>
                <m:t>t</m:t>
              </m:r>
              <m:r>
                <m:t>a</m:t>
              </m:r>
              <m:r>
                <m:t>l</m:t>
              </m:r>
            </m:sub>
          </m:sSub>
          <m:r>
            <m:rPr>
              <m:sty m:val="p"/>
            </m:rPr>
            <m:t>=</m:t>
          </m:r>
          <m:r>
            <m:t>M</m:t>
          </m:r>
          <m:r>
            <m:t>e</m:t>
          </m:r>
          <m:r>
            <m:t>H</m:t>
          </m:r>
          <m:sSub>
            <m:e>
              <m:r>
                <m:t>g</m:t>
              </m:r>
            </m:e>
            <m:sub>
              <m:r>
                <m:t>t</m:t>
              </m:r>
              <m:r>
                <m:t>o</m:t>
              </m:r>
              <m:r>
                <m:t>t</m:t>
              </m:r>
              <m:r>
                <m:t>a</m:t>
              </m:r>
              <m:r>
                <m:t>l</m:t>
              </m:r>
            </m:sub>
          </m:sSub>
          <m:r>
            <m:rPr>
              <m:sty m:val="p"/>
            </m:rPr>
            <m:t>+</m:t>
          </m:r>
          <m:r>
            <m:t>M</m:t>
          </m:r>
          <m:r>
            <m:t>e</m:t>
          </m:r>
          <m:r>
            <m:t>H</m:t>
          </m:r>
          <m:sSub>
            <m:e>
              <m:r>
                <m:t>g</m:t>
              </m:r>
            </m:e>
            <m:sub>
              <m:r>
                <m:t>d</m:t>
              </m:r>
              <m:r>
                <m:t>i</m:t>
              </m:r>
              <m:r>
                <m:t>g</m:t>
              </m:r>
              <m:r>
                <m:t>e</m:t>
              </m:r>
              <m:r>
                <m:t>s</m:t>
              </m:r>
              <m:r>
                <m:t>t</m:t>
              </m:r>
              <m:r>
                <m:t>e</m:t>
              </m:r>
              <m:r>
                <m:t>d</m:t>
              </m:r>
            </m:sub>
          </m:sSub>
          <m:r>
            <m:t>  </m:t>
          </m:r>
          <m:r>
            <m:rPr>
              <m:nor/>
              <m:sty m:val="p"/>
            </m:rPr>
            <m:t>(5.8)</m:t>
          </m:r>
        </m:oMath>
      </m:oMathPara>
    </w:p>
    <w:p>
      <w:pPr>
        <w:pStyle w:val="FirstParagraph"/>
      </w:pPr>
      <w:r>
        <w:t xml:space="preserve">Where:</w:t>
      </w:r>
    </w:p>
    <w:p>
      <w:pPr>
        <w:numPr>
          <w:ilvl w:val="0"/>
          <w:numId w:val="1009"/>
        </w:numPr>
      </w:pPr>
      <m:oMath>
        <m:r>
          <m:t>M</m:t>
        </m:r>
        <m:r>
          <m:t>e</m:t>
        </m:r>
        <m:r>
          <m:t>H</m:t>
        </m:r>
        <m:sSub>
          <m:e>
            <m:r>
              <m:t>g</m:t>
            </m:r>
          </m:e>
          <m:sub>
            <m:r>
              <m:t>t</m:t>
            </m:r>
            <m:r>
              <m:t>o</m:t>
            </m:r>
            <m:r>
              <m:t>t</m:t>
            </m:r>
            <m:r>
              <m:t>a</m:t>
            </m:r>
            <m:r>
              <m:t>l</m:t>
            </m:r>
          </m:sub>
        </m:sSub>
      </m:oMath>
      <w:r>
        <w:t xml:space="preserve"> </w:t>
      </w:r>
      <w:r>
        <w:t xml:space="preserve">is the cumulative methylmercury body burden (ng).</w:t>
      </w:r>
    </w:p>
    <w:p>
      <w:pPr>
        <w:numPr>
          <w:ilvl w:val="0"/>
          <w:numId w:val="1009"/>
        </w:numPr>
      </w:pPr>
      <m:oMath>
        <m:r>
          <m:t>M</m:t>
        </m:r>
        <m:r>
          <m:t>e</m:t>
        </m:r>
        <m:r>
          <m:t>H</m:t>
        </m:r>
        <m:sSub>
          <m:e>
            <m:r>
              <m:t>g</m:t>
            </m:r>
          </m:e>
          <m:sub>
            <m:r>
              <m:t>d</m:t>
            </m:r>
            <m:r>
              <m:t>i</m:t>
            </m:r>
            <m:r>
              <m:t>g</m:t>
            </m:r>
            <m:r>
              <m:t>e</m:t>
            </m:r>
            <m:r>
              <m:t>s</m:t>
            </m:r>
            <m:r>
              <m:t>t</m:t>
            </m:r>
            <m:r>
              <m:t>e</m:t>
            </m:r>
            <m:r>
              <m:t>d</m:t>
            </m:r>
          </m:sub>
        </m:sSub>
      </m:oMath>
      <w:r>
        <w:t xml:space="preserve"> </w:t>
      </w:r>
      <w:r>
        <w:t xml:space="preserve">is the methylmercury assimilated during digestion</w:t>
      </w:r>
      <w:r>
        <w:t xml:space="preserve"> </w:t>
      </w:r>
      <w:r>
        <w:t xml:space="preserve">(ng).</w:t>
      </w:r>
    </w:p>
    <w:bookmarkEnd w:id="21"/>
    <w:bookmarkStart w:id="22" w:name="transition-to-foraging"/>
    <w:p>
      <w:pPr>
        <w:pStyle w:val="Heading3"/>
      </w:pPr>
      <w:r>
        <w:t xml:space="preserve">Transition to Foraging</w:t>
      </w:r>
    </w:p>
    <w:p>
      <w:pPr>
        <w:pStyle w:val="FirstParagraph"/>
      </w:pPr>
      <w:r>
        <w:t xml:space="preserve">When stomach contents reach zero:</w:t>
      </w:r>
    </w:p>
    <w:p>
      <w:pPr>
        <w:pStyle w:val="Compact"/>
        <w:numPr>
          <w:ilvl w:val="0"/>
          <w:numId w:val="1010"/>
        </w:numPr>
      </w:pPr>
      <w:r>
        <w:t xml:space="preserve">lipid-loss is activated</w:t>
      </w:r>
    </w:p>
    <w:p>
      <w:pPr>
        <w:pStyle w:val="FirstParagraph"/>
      </w:pPr>
      <w:r>
        <w:t xml:space="preserve">This switches the prey to burn fat energy reserves instead of relying on</w:t>
      </w:r>
      <w:r>
        <w:t xml:space="preserve"> </w:t>
      </w:r>
      <w:r>
        <w:t xml:space="preserve">stomach contents. This transition represents a shift from exogenous to</w:t>
      </w:r>
      <w:r>
        <w:t xml:space="preserve"> </w:t>
      </w:r>
      <w:r>
        <w:t xml:space="preserve">endogenous energy use, consistent with anadromous fishes such as river</w:t>
      </w:r>
      <w:r>
        <w:t xml:space="preserve"> </w:t>
      </w:r>
      <w:r>
        <w:t xml:space="preserve">herring, which reduce or cease feeding during spawning migration and</w:t>
      </w:r>
      <w:r>
        <w:t xml:space="preserve"> </w:t>
      </w:r>
      <w:r>
        <w:t xml:space="preserve">rely on stored lipid reserves to support metabolic demands and movement</w:t>
      </w:r>
      <w:r>
        <w:t xml:space="preserve"> </w:t>
      </w:r>
      <w:r>
        <w:t xml:space="preserve">(Araújo et al. 2013; Zenga 2020)</w:t>
      </w:r>
      <w:r>
        <w:t xml:space="preserve">.</w:t>
      </w:r>
    </w:p>
    <w:bookmarkEnd w:id="22"/>
    <w:bookmarkEnd w:id="23"/>
    <w:bookmarkStart w:id="37" w:name="netlogo-implementation"/>
    <w:p>
      <w:pPr>
        <w:pStyle w:val="Heading2"/>
      </w:pPr>
      <w:r>
        <w:t xml:space="preserve">Netlogo Implementation</w:t>
      </w:r>
    </w:p>
    <w:p>
      <w:pPr>
        <w:pStyle w:val="SourceCode"/>
      </w:pPr>
      <w:r>
        <w:rPr>
          <w:rStyle w:val="VerbatimChar"/>
        </w:rPr>
        <w:t xml:space="preserve">;; ============================================</w:t>
      </w:r>
      <w:r>
        <w:br/>
      </w:r>
      <w:r>
        <w:rPr>
          <w:rStyle w:val="VerbatimChar"/>
        </w:rPr>
        <w:t xml:space="preserve">;; DIGESTION SUBMODEL</w:t>
      </w:r>
      <w:r>
        <w:br/>
      </w:r>
      <w:r>
        <w:rPr>
          <w:rStyle w:val="VerbatimChar"/>
        </w:rPr>
        <w:t xml:space="preserve">;; ============================================</w:t>
      </w:r>
      <w:r>
        <w:br/>
      </w:r>
      <w:r>
        <w:br/>
      </w:r>
      <w:r>
        <w:rPr>
          <w:rStyle w:val="VerbatimChar"/>
        </w:rPr>
        <w:t xml:space="preserve">fish-own [</w:t>
      </w:r>
      <w:r>
        <w:br/>
      </w:r>
      <w:r>
        <w:rPr>
          <w:rStyle w:val="VerbatimChar"/>
        </w:rPr>
        <w:t xml:space="preserve">  ;; digestion state</w:t>
      </w:r>
      <w:r>
        <w:br/>
      </w:r>
      <w:r>
        <w:rPr>
          <w:rStyle w:val="VerbatimChar"/>
        </w:rPr>
        <w:t xml:space="preserve">  stomach-contents</w:t>
      </w:r>
      <w:r>
        <w:br/>
      </w:r>
      <w:r>
        <w:rPr>
          <w:rStyle w:val="VerbatimChar"/>
        </w:rPr>
        <w:t xml:space="preserve">  stomach-contents-Hg</w:t>
      </w:r>
      <w:r>
        <w:br/>
      </w:r>
      <w:r>
        <w:rPr>
          <w:rStyle w:val="VerbatimChar"/>
        </w:rPr>
        <w:t xml:space="preserve">  stomach-contents-MeHg</w:t>
      </w:r>
      <w:r>
        <w:br/>
      </w:r>
      <w:r>
        <w:rPr>
          <w:rStyle w:val="VerbatimChar"/>
        </w:rPr>
        <w:t xml:space="preserve">  digestion-rate</w:t>
      </w:r>
      <w:r>
        <w:br/>
      </w:r>
      <w:r>
        <w:rPr>
          <w:rStyle w:val="VerbatimChar"/>
        </w:rPr>
        <w:t xml:space="preserve">  digestion-efficiency</w:t>
      </w:r>
      <w:r>
        <w:br/>
      </w:r>
      <w:r>
        <w:br/>
      </w:r>
      <w:r>
        <w:rPr>
          <w:rStyle w:val="VerbatimChar"/>
        </w:rPr>
        <w:t xml:space="preserve">  ;; contaminant tracking</w:t>
      </w:r>
      <w:r>
        <w:br/>
      </w:r>
      <w:r>
        <w:rPr>
          <w:rStyle w:val="VerbatimChar"/>
        </w:rPr>
        <w:t xml:space="preserve">  mehg-foraging</w:t>
      </w:r>
      <w:r>
        <w:br/>
      </w:r>
      <w:r>
        <w:rPr>
          <w:rStyle w:val="VerbatimChar"/>
        </w:rPr>
        <w:t xml:space="preserve">  hg-foraging</w:t>
      </w:r>
      <w:r>
        <w:br/>
      </w:r>
      <w:r>
        <w:rPr>
          <w:rStyle w:val="VerbatimChar"/>
        </w:rPr>
        <w:t xml:space="preserve">  mehg-foraging-total</w:t>
      </w:r>
      <w:r>
        <w:br/>
      </w:r>
      <w:r>
        <w:rPr>
          <w:rStyle w:val="VerbatimChar"/>
        </w:rPr>
        <w:t xml:space="preserve">  hg-foraging-total</w:t>
      </w:r>
      <w:r>
        <w:br/>
      </w:r>
      <w:r>
        <w:rPr>
          <w:rStyle w:val="VerbatimChar"/>
        </w:rPr>
        <w:t xml:space="preserve">  mehg-total</w:t>
      </w:r>
      <w:r>
        <w:br/>
      </w:r>
      <w:r>
        <w:rPr>
          <w:rStyle w:val="VerbatimChar"/>
        </w:rPr>
        <w:t xml:space="preserve">  hg-total</w:t>
      </w:r>
      <w:r>
        <w:br/>
      </w:r>
      <w:r>
        <w:br/>
      </w:r>
      <w:r>
        <w:rPr>
          <w:rStyle w:val="VerbatimChar"/>
        </w:rPr>
        <w:t xml:space="preserve">  ;; energy + biomass</w:t>
      </w:r>
      <w:r>
        <w:br/>
      </w:r>
      <w:r>
        <w:rPr>
          <w:rStyle w:val="VerbatimChar"/>
        </w:rPr>
        <w:t xml:space="preserve">  energy</w:t>
      </w:r>
      <w:r>
        <w:br/>
      </w:r>
      <w:r>
        <w:rPr>
          <w:rStyle w:val="VerbatimChar"/>
        </w:rPr>
        <w:t xml:space="preserve">  weight</w:t>
      </w:r>
      <w:r>
        <w:br/>
      </w:r>
      <w:r>
        <w:rPr>
          <w:rStyle w:val="VerbatimChar"/>
        </w:rPr>
        <w:t xml:space="preserve">  lipid-loss</w:t>
      </w:r>
      <w:r>
        <w:br/>
      </w:r>
      <w:r>
        <w:rPr>
          <w:rStyle w:val="VerbatimChar"/>
        </w:rPr>
        <w:t xml:space="preserve">  lipid-catabolism-efficiency</w:t>
      </w:r>
      <w:r>
        <w:br/>
      </w:r>
      <w:r>
        <w:rPr>
          <w:rStyle w:val="VerbatimChar"/>
        </w:rPr>
        <w:t xml:space="preserve">]</w:t>
      </w:r>
      <w:r>
        <w:br/>
      </w:r>
      <w:r>
        <w:br/>
      </w:r>
      <w:r>
        <w:rPr>
          <w:rStyle w:val="VerbatimChar"/>
        </w:rPr>
        <w:t xml:space="preserve">to digest</w:t>
      </w:r>
      <w:r>
        <w:br/>
      </w:r>
      <w:r>
        <w:rPr>
          <w:rStyle w:val="VerbatimChar"/>
        </w:rPr>
        <w:t xml:space="preserve">  ;; digestion tied to metabolic rate</w:t>
      </w:r>
      <w:r>
        <w:br/>
      </w:r>
      <w:r>
        <w:rPr>
          <w:rStyle w:val="VerbatimChar"/>
        </w:rPr>
        <w:t xml:space="preserve">  set digestion-rate metabolism-rate</w:t>
      </w:r>
      <w:r>
        <w:br/>
      </w:r>
      <w:r>
        <w:br/>
      </w:r>
      <w:r>
        <w:rPr>
          <w:rStyle w:val="VerbatimChar"/>
        </w:rPr>
        <w:t xml:space="preserve">  ;; nothing to digest</w:t>
      </w:r>
      <w:r>
        <w:br/>
      </w:r>
      <w:r>
        <w:rPr>
          <w:rStyle w:val="VerbatimChar"/>
        </w:rPr>
        <w:t xml:space="preserve">  if stomach-contents &lt;= 0 [</w:t>
      </w:r>
      <w:r>
        <w:br/>
      </w:r>
      <w:r>
        <w:rPr>
          <w:rStyle w:val="VerbatimChar"/>
        </w:rPr>
        <w:t xml:space="preserve">    set foraging true</w:t>
      </w:r>
      <w:r>
        <w:br/>
      </w:r>
      <w:r>
        <w:rPr>
          <w:rStyle w:val="VerbatimChar"/>
        </w:rPr>
        <w:t xml:space="preserve">    set lipid-loss true</w:t>
      </w:r>
      <w:r>
        <w:br/>
      </w:r>
      <w:r>
        <w:rPr>
          <w:rStyle w:val="VerbatimChar"/>
        </w:rPr>
        <w:t xml:space="preserve">    stop</w:t>
      </w:r>
      <w:r>
        <w:br/>
      </w:r>
      <w:r>
        <w:rPr>
          <w:rStyle w:val="VerbatimChar"/>
        </w:rPr>
        <w:t xml:space="preserve">  ]</w:t>
      </w:r>
      <w:r>
        <w:br/>
      </w:r>
      <w:r>
        <w:br/>
      </w:r>
      <w:r>
        <w:rPr>
          <w:rStyle w:val="VerbatimChar"/>
        </w:rPr>
        <w:t xml:space="preserve">  ;; ============================================</w:t>
      </w:r>
      <w:r>
        <w:br/>
      </w:r>
      <w:r>
        <w:rPr>
          <w:rStyle w:val="VerbatimChar"/>
        </w:rPr>
        <w:t xml:space="preserve">  ;; DIGESTIVE BREAKDOWN</w:t>
      </w:r>
      <w:r>
        <w:br/>
      </w:r>
      <w:r>
        <w:rPr>
          <w:rStyle w:val="VerbatimChar"/>
        </w:rPr>
        <w:t xml:space="preserve">  ;; ============================================</w:t>
      </w:r>
      <w:r>
        <w:br/>
      </w:r>
      <w:r>
        <w:br/>
      </w:r>
      <w:r>
        <w:rPr>
          <w:rStyle w:val="VerbatimChar"/>
        </w:rPr>
        <w:t xml:space="preserve">  ;; amount of prey broken down this tick</w:t>
      </w:r>
      <w:r>
        <w:br/>
      </w:r>
      <w:r>
        <w:rPr>
          <w:rStyle w:val="VerbatimChar"/>
        </w:rPr>
        <w:t xml:space="preserve">  let digested (stomach-contents * digestion-rate)</w:t>
      </w:r>
      <w:r>
        <w:br/>
      </w:r>
      <w:r>
        <w:br/>
      </w:r>
      <w:r>
        <w:rPr>
          <w:rStyle w:val="VerbatimChar"/>
        </w:rPr>
        <w:t xml:space="preserve">  ;; numerical guard to avoid divide-by-zero</w:t>
      </w:r>
      <w:r>
        <w:br/>
      </w:r>
      <w:r>
        <w:rPr>
          <w:rStyle w:val="VerbatimChar"/>
        </w:rPr>
        <w:t xml:space="preserve">  if stomach-contents &lt;= 0.000001 [ set digested 0 ]</w:t>
      </w:r>
      <w:r>
        <w:br/>
      </w:r>
      <w:r>
        <w:br/>
      </w:r>
      <w:r>
        <w:rPr>
          <w:rStyle w:val="VerbatimChar"/>
        </w:rPr>
        <w:t xml:space="preserve">  let digested-Hg   0</w:t>
      </w:r>
      <w:r>
        <w:br/>
      </w:r>
      <w:r>
        <w:rPr>
          <w:rStyle w:val="VerbatimChar"/>
        </w:rPr>
        <w:t xml:space="preserve">  let digested-MeHg 0</w:t>
      </w:r>
      <w:r>
        <w:br/>
      </w:r>
      <w:r>
        <w:br/>
      </w:r>
      <w:r>
        <w:rPr>
          <w:rStyle w:val="VerbatimChar"/>
        </w:rPr>
        <w:t xml:space="preserve">  if digested &gt; 0 and stomach-contents &gt; 0 [</w:t>
      </w:r>
      <w:r>
        <w:br/>
      </w:r>
      <w:r>
        <w:rPr>
          <w:rStyle w:val="VerbatimChar"/>
        </w:rPr>
        <w:t xml:space="preserve">    set digested-Hg   ((digested / stomach-contents) * stomach-contents-Hg)</w:t>
      </w:r>
      <w:r>
        <w:br/>
      </w:r>
      <w:r>
        <w:rPr>
          <w:rStyle w:val="VerbatimChar"/>
        </w:rPr>
        <w:t xml:space="preserve">    set digested-MeHg ((digested / stomach-contents) * stomach-contents-MeHg)</w:t>
      </w:r>
      <w:r>
        <w:br/>
      </w:r>
      <w:r>
        <w:rPr>
          <w:rStyle w:val="VerbatimChar"/>
        </w:rPr>
        <w:t xml:space="preserve">  ]</w:t>
      </w:r>
      <w:r>
        <w:br/>
      </w:r>
      <w:r>
        <w:br/>
      </w:r>
      <w:r>
        <w:rPr>
          <w:rStyle w:val="VerbatimChar"/>
        </w:rPr>
        <w:t xml:space="preserve">  ;; ============================================</w:t>
      </w:r>
      <w:r>
        <w:br/>
      </w:r>
      <w:r>
        <w:rPr>
          <w:rStyle w:val="VerbatimChar"/>
        </w:rPr>
        <w:t xml:space="preserve">  ;; UPDATE STOMACH CONTENTS</w:t>
      </w:r>
      <w:r>
        <w:br/>
      </w:r>
      <w:r>
        <w:rPr>
          <w:rStyle w:val="VerbatimChar"/>
        </w:rPr>
        <w:t xml:space="preserve">  ;; ============================================</w:t>
      </w:r>
      <w:r>
        <w:br/>
      </w:r>
      <w:r>
        <w:br/>
      </w:r>
      <w:r>
        <w:rPr>
          <w:rStyle w:val="VerbatimChar"/>
        </w:rPr>
        <w:t xml:space="preserve">  set stomach-contents     (max list 0 (stomach-contents - digested))</w:t>
      </w:r>
      <w:r>
        <w:br/>
      </w:r>
      <w:r>
        <w:rPr>
          <w:rStyle w:val="VerbatimChar"/>
        </w:rPr>
        <w:t xml:space="preserve">  set stomach-contents-Hg  (max list 0 (stomach-contents-Hg - digested-Hg))</w:t>
      </w:r>
      <w:r>
        <w:br/>
      </w:r>
      <w:r>
        <w:rPr>
          <w:rStyle w:val="VerbatimChar"/>
        </w:rPr>
        <w:t xml:space="preserve">  set stomach-contents-MeHg (max list 0 (stomach-contents-MeHg - digested-MeHg))</w:t>
      </w:r>
      <w:r>
        <w:br/>
      </w:r>
      <w:r>
        <w:br/>
      </w:r>
      <w:r>
        <w:rPr>
          <w:rStyle w:val="VerbatimChar"/>
        </w:rPr>
        <w:t xml:space="preserve">  ;; ============================================</w:t>
      </w:r>
      <w:r>
        <w:br/>
      </w:r>
      <w:r>
        <w:rPr>
          <w:rStyle w:val="VerbatimChar"/>
        </w:rPr>
        <w:t xml:space="preserve">  ;; ENERGY CONVERSION</w:t>
      </w:r>
      <w:r>
        <w:br/>
      </w:r>
      <w:r>
        <w:rPr>
          <w:rStyle w:val="VerbatimChar"/>
        </w:rPr>
        <w:t xml:space="preserve">  ;; ============================================</w:t>
      </w:r>
      <w:r>
        <w:br/>
      </w:r>
      <w:r>
        <w:br/>
      </w:r>
      <w:r>
        <w:rPr>
          <w:rStyle w:val="VerbatimChar"/>
        </w:rPr>
        <w:t xml:space="preserve">  let usable-energy (digested * digestion-efficiency * 40)</w:t>
      </w:r>
      <w:r>
        <w:br/>
      </w:r>
      <w:r>
        <w:rPr>
          <w:rStyle w:val="VerbatimChar"/>
        </w:rPr>
        <w:t xml:space="preserve">  set energy energy + usable-energy</w:t>
      </w:r>
      <w:r>
        <w:br/>
      </w:r>
      <w:r>
        <w:br/>
      </w:r>
      <w:r>
        <w:rPr>
          <w:rStyle w:val="VerbatimChar"/>
        </w:rPr>
        <w:t xml:space="preserve">  ;; ============================================</w:t>
      </w:r>
      <w:r>
        <w:br/>
      </w:r>
      <w:r>
        <w:rPr>
          <w:rStyle w:val="VerbatimChar"/>
        </w:rPr>
        <w:t xml:space="preserve">  ;; STORE LIPID IF ENERGY SURPLUS</w:t>
      </w:r>
      <w:r>
        <w:br/>
      </w:r>
      <w:r>
        <w:rPr>
          <w:rStyle w:val="VerbatimChar"/>
        </w:rPr>
        <w:t xml:space="preserve">  ;; ============================================</w:t>
      </w:r>
      <w:r>
        <w:br/>
      </w:r>
      <w:r>
        <w:br/>
      </w:r>
      <w:r>
        <w:rPr>
          <w:rStyle w:val="VerbatimChar"/>
        </w:rPr>
        <w:t xml:space="preserve">  if energy &gt; 100 [</w:t>
      </w:r>
      <w:r>
        <w:br/>
      </w:r>
      <w:r>
        <w:rPr>
          <w:rStyle w:val="VerbatimChar"/>
        </w:rPr>
        <w:t xml:space="preserve">    let surplus (energy - 100)</w:t>
      </w:r>
      <w:r>
        <w:br/>
      </w:r>
      <w:r>
        <w:br/>
      </w:r>
      <w:r>
        <w:rPr>
          <w:rStyle w:val="VerbatimChar"/>
        </w:rPr>
        <w:t xml:space="preserve">    ;; convert surplus to lipid</w:t>
      </w:r>
      <w:r>
        <w:br/>
      </w:r>
      <w:r>
        <w:rPr>
          <w:rStyle w:val="VerbatimChar"/>
        </w:rPr>
        <w:t xml:space="preserve">    let lipid-added (surplus / 40)</w:t>
      </w:r>
      <w:r>
        <w:br/>
      </w:r>
      <w:r>
        <w:br/>
      </w:r>
      <w:r>
        <w:rPr>
          <w:rStyle w:val="VerbatimChar"/>
        </w:rPr>
        <w:t xml:space="preserve">    ;; apply storage efficiency</w:t>
      </w:r>
      <w:r>
        <w:br/>
      </w:r>
      <w:r>
        <w:rPr>
          <w:rStyle w:val="VerbatimChar"/>
        </w:rPr>
        <w:t xml:space="preserve">    set lipid-added (lipid-added * lipid-catabolism-efficiency)</w:t>
      </w:r>
      <w:r>
        <w:br/>
      </w:r>
      <w:r>
        <w:br/>
      </w:r>
      <w:r>
        <w:rPr>
          <w:rStyle w:val="VerbatimChar"/>
        </w:rPr>
        <w:t xml:space="preserve">    ;; update biomass</w:t>
      </w:r>
      <w:r>
        <w:br/>
      </w:r>
      <w:r>
        <w:rPr>
          <w:rStyle w:val="VerbatimChar"/>
        </w:rPr>
        <w:t xml:space="preserve">    set weight weight + lipid-added</w:t>
      </w:r>
      <w:r>
        <w:br/>
      </w:r>
      <w:r>
        <w:br/>
      </w:r>
      <w:r>
        <w:rPr>
          <w:rStyle w:val="VerbatimChar"/>
        </w:rPr>
        <w:t xml:space="preserve">    ;; subtract energy equivalent</w:t>
      </w:r>
      <w:r>
        <w:br/>
      </w:r>
      <w:r>
        <w:rPr>
          <w:rStyle w:val="VerbatimChar"/>
        </w:rPr>
        <w:t xml:space="preserve">    set energy energy - (lipid-added * 40)</w:t>
      </w:r>
      <w:r>
        <w:br/>
      </w:r>
      <w:r>
        <w:rPr>
          <w:rStyle w:val="VerbatimChar"/>
        </w:rPr>
        <w:t xml:space="preserve">  ]</w:t>
      </w:r>
      <w:r>
        <w:br/>
      </w:r>
      <w:r>
        <w:br/>
      </w:r>
      <w:r>
        <w:rPr>
          <w:rStyle w:val="VerbatimChar"/>
        </w:rPr>
        <w:t xml:space="preserve">  ;; ============================================</w:t>
      </w:r>
      <w:r>
        <w:br/>
      </w:r>
      <w:r>
        <w:rPr>
          <w:rStyle w:val="VerbatimChar"/>
        </w:rPr>
        <w:t xml:space="preserve">  ;; CONTAMINANT ASSIMILATION</w:t>
      </w:r>
      <w:r>
        <w:br/>
      </w:r>
      <w:r>
        <w:rPr>
          <w:rStyle w:val="VerbatimChar"/>
        </w:rPr>
        <w:t xml:space="preserve">  ;; ============================================</w:t>
      </w:r>
      <w:r>
        <w:br/>
      </w:r>
      <w:r>
        <w:br/>
      </w:r>
      <w:r>
        <w:rPr>
          <w:rStyle w:val="VerbatimChar"/>
        </w:rPr>
        <w:t xml:space="preserve">  set mehg-foraging          digested-MeHg</w:t>
      </w:r>
      <w:r>
        <w:br/>
      </w:r>
      <w:r>
        <w:rPr>
          <w:rStyle w:val="VerbatimChar"/>
        </w:rPr>
        <w:t xml:space="preserve">  set hg-foraging            digested-Hg</w:t>
      </w:r>
      <w:r>
        <w:br/>
      </w:r>
      <w:r>
        <w:rPr>
          <w:rStyle w:val="VerbatimChar"/>
        </w:rPr>
        <w:t xml:space="preserve">  set mehg-foraging-total    mehg-foraging-total + digested-MeHg</w:t>
      </w:r>
      <w:r>
        <w:br/>
      </w:r>
      <w:r>
        <w:rPr>
          <w:rStyle w:val="VerbatimChar"/>
        </w:rPr>
        <w:t xml:space="preserve">  set hg-foraging-total      hg-foraging-total + digested-Hg</w:t>
      </w:r>
      <w:r>
        <w:br/>
      </w:r>
      <w:r>
        <w:rPr>
          <w:rStyle w:val="VerbatimChar"/>
        </w:rPr>
        <w:t xml:space="preserve">  set mehg-total             mehg-total + digested-MeHg</w:t>
      </w:r>
      <w:r>
        <w:br/>
      </w:r>
      <w:r>
        <w:rPr>
          <w:rStyle w:val="VerbatimChar"/>
        </w:rPr>
        <w:t xml:space="preserve">  set hg-total               hg-total + digested-Hg</w:t>
      </w:r>
      <w:r>
        <w:br/>
      </w:r>
      <w:r>
        <w:br/>
      </w:r>
      <w:r>
        <w:rPr>
          <w:rStyle w:val="VerbatimChar"/>
        </w:rPr>
        <w:t xml:space="preserve">  ;; ============================================</w:t>
      </w:r>
      <w:r>
        <w:br/>
      </w:r>
      <w:r>
        <w:rPr>
          <w:rStyle w:val="VerbatimChar"/>
        </w:rPr>
        <w:t xml:space="preserve">  ;; SWITCH TO Lipid Loss IF EMPTY</w:t>
      </w:r>
      <w:r>
        <w:br/>
      </w:r>
      <w:r>
        <w:rPr>
          <w:rStyle w:val="VerbatimChar"/>
        </w:rPr>
        <w:t xml:space="preserve">  ;; ============================================</w:t>
      </w:r>
      <w:r>
        <w:br/>
      </w:r>
      <w:r>
        <w:br/>
      </w:r>
      <w:r>
        <w:rPr>
          <w:rStyle w:val="VerbatimChar"/>
        </w:rPr>
        <w:t xml:space="preserve">  if stomach-contents &lt;= 0 [</w:t>
      </w:r>
      <w:r>
        <w:br/>
      </w:r>
      <w:r>
        <w:rPr>
          <w:rStyle w:val="VerbatimChar"/>
        </w:rPr>
        <w:t xml:space="preserve">    set lipid-loss true</w:t>
      </w:r>
      <w:r>
        <w:br/>
      </w:r>
      <w:r>
        <w:rPr>
          <w:rStyle w:val="VerbatimChar"/>
        </w:rPr>
        <w:t xml:space="preserve">  ]</w:t>
      </w:r>
      <w:r>
        <w:br/>
      </w:r>
      <w:r>
        <w:rPr>
          <w:rStyle w:val="VerbatimChar"/>
        </w:rPr>
        <w:t xml:space="preserve">end</w:t>
      </w:r>
    </w:p>
    <w:bookmarkStart w:id="36" w:name="refs"/>
    <w:bookmarkStart w:id="25" w:name="ref-araujo_energetic_2013"/>
    <w:p>
      <w:pPr>
        <w:pStyle w:val="Bibliography"/>
      </w:pPr>
      <w:r>
        <w:t xml:space="preserve">Araújo, Mário Jorge, Rodrigo O. A. Ozório, and Carlos Antunes. 2013.</w:t>
      </w:r>
      <w:r>
        <w:t xml:space="preserve"> </w:t>
      </w:r>
      <w:r>
        <w:t xml:space="preserve">“Energetic Aspects of Spawning Migrations and Their Implications for the Management of Southern European Diadromous Fish Populations.”</w:t>
      </w:r>
      <w:r>
        <w:t xml:space="preserve"> </w:t>
      </w:r>
      <w:r>
        <w:rPr>
          <w:i/>
          <w:iCs/>
        </w:rPr>
        <w:t xml:space="preserve">Limnetica</w:t>
      </w:r>
      <w:r>
        <w:t xml:space="preserve"> </w:t>
      </w:r>
      <w:r>
        <w:t xml:space="preserve">32 (2): 303–20.</w:t>
      </w:r>
      <w:r>
        <w:t xml:space="preserve"> </w:t>
      </w:r>
      <w:hyperlink r:id="rId24">
        <w:r>
          <w:rPr>
            <w:rStyle w:val="Hyperlink"/>
          </w:rPr>
          <w:t xml:space="preserve">https://doi.org/10.23818/limn.32.24</w:t>
        </w:r>
      </w:hyperlink>
      <w:r>
        <w:t xml:space="preserve">.</w:t>
      </w:r>
    </w:p>
    <w:bookmarkEnd w:id="25"/>
    <w:bookmarkStart w:id="27" w:name="ref-brown_toward_2004"/>
    <w:p>
      <w:pPr>
        <w:pStyle w:val="Bibliography"/>
      </w:pPr>
      <w:r>
        <w:t xml:space="preserve">Brown, James H., James F. Gillooly, Andrew P. Allen, Van M. Savage, and Geoffrey B. West. 2004.</w:t>
      </w:r>
      <w:r>
        <w:t xml:space="preserve"> </w:t>
      </w:r>
      <w:r>
        <w:t xml:space="preserve">“</w:t>
      </w:r>
      <w:r>
        <w:t xml:space="preserve">TOWARD</w:t>
      </w:r>
      <w:r>
        <w:t xml:space="preserve"> </w:t>
      </w:r>
      <w:r>
        <w:t xml:space="preserve">a</w:t>
      </w:r>
      <w:r>
        <w:t xml:space="preserve"> </w:t>
      </w:r>
      <w:r>
        <w:t xml:space="preserve">METABOLIC</w:t>
      </w:r>
      <w:r>
        <w:t xml:space="preserve"> </w:t>
      </w:r>
      <w:r>
        <w:t xml:space="preserve">THEORY</w:t>
      </w:r>
      <w:r>
        <w:t xml:space="preserve"> </w:t>
      </w:r>
      <w:r>
        <w:t xml:space="preserve">OF</w:t>
      </w:r>
      <w:r>
        <w:t xml:space="preserve"> </w:t>
      </w:r>
      <w:r>
        <w:t xml:space="preserve">ECOLOGY</w:t>
      </w:r>
      <w:r>
        <w:t xml:space="preserve">.”</w:t>
      </w:r>
      <w:r>
        <w:t xml:space="preserve"> </w:t>
      </w:r>
      <w:r>
        <w:rPr>
          <w:i/>
          <w:iCs/>
        </w:rPr>
        <w:t xml:space="preserve">Ecology</w:t>
      </w:r>
      <w:r>
        <w:t xml:space="preserve"> </w:t>
      </w:r>
      <w:r>
        <w:t xml:space="preserve">85 (7): 1771–89.</w:t>
      </w:r>
      <w:r>
        <w:t xml:space="preserve"> </w:t>
      </w:r>
      <w:hyperlink r:id="rId26">
        <w:r>
          <w:rPr>
            <w:rStyle w:val="Hyperlink"/>
          </w:rPr>
          <w:t xml:space="preserve">https://doi.org/10.1890/03-9000</w:t>
        </w:r>
      </w:hyperlink>
      <w:r>
        <w:t xml:space="preserve">.</w:t>
      </w:r>
    </w:p>
    <w:bookmarkEnd w:id="27"/>
    <w:bookmarkStart w:id="29" w:name="ref-fu_behavioural_2009"/>
    <w:p>
      <w:pPr>
        <w:pStyle w:val="Bibliography"/>
      </w:pPr>
      <w:r>
        <w:t xml:space="preserve">Fu, Shi-Jian, Ling-Qing Zeng, Xiu-Ming Li, et al. 2009.</w:t>
      </w:r>
      <w:r>
        <w:t xml:space="preserve"> </w:t>
      </w:r>
      <w:r>
        <w:t xml:space="preserve">“The Behavioural, Digestive and Metabolic Characteristics of Fishes with Different Foraging Strategies.”</w:t>
      </w:r>
      <w:r>
        <w:t xml:space="preserve"> </w:t>
      </w:r>
      <w:r>
        <w:rPr>
          <w:i/>
          <w:iCs/>
        </w:rPr>
        <w:t xml:space="preserve">Journal of Experimental Biology</w:t>
      </w:r>
      <w:r>
        <w:t xml:space="preserve"> </w:t>
      </w:r>
      <w:r>
        <w:t xml:space="preserve">212 (14): 2296–302.</w:t>
      </w:r>
      <w:r>
        <w:t xml:space="preserve"> </w:t>
      </w:r>
      <w:hyperlink r:id="rId28">
        <w:r>
          <w:rPr>
            <w:rStyle w:val="Hyperlink"/>
          </w:rPr>
          <w:t xml:space="preserve">https://doi.org/10.1242/jeb.027102</w:t>
        </w:r>
      </w:hyperlink>
      <w:r>
        <w:t xml:space="preserve">.</w:t>
      </w:r>
    </w:p>
    <w:bookmarkEnd w:id="29"/>
    <w:bookmarkStart w:id="31" w:name="ref-trudel_bioenergetics_2006"/>
    <w:p>
      <w:pPr>
        <w:pStyle w:val="Bibliography"/>
      </w:pPr>
      <w:r>
        <w:t xml:space="preserve">Trudel, Marc, and Joseph B Rasmussen. 2006.</w:t>
      </w:r>
      <w:r>
        <w:t xml:space="preserve"> </w:t>
      </w:r>
      <w:r>
        <w:t xml:space="preserve">“Bioenergetics and Mercury Dynamics in Fish: A Modelling Perspective.”</w:t>
      </w:r>
      <w:r>
        <w:t xml:space="preserve"> </w:t>
      </w:r>
      <w:r>
        <w:rPr>
          <w:i/>
          <w:iCs/>
        </w:rPr>
        <w:t xml:space="preserve">Canadian Journal of Fisheries and Aquatic Sciences</w:t>
      </w:r>
      <w:r>
        <w:t xml:space="preserve"> </w:t>
      </w:r>
      <w:r>
        <w:t xml:space="preserve">63 (8): 1890–902.</w:t>
      </w:r>
      <w:r>
        <w:t xml:space="preserve"> </w:t>
      </w:r>
      <w:hyperlink r:id="rId30">
        <w:r>
          <w:rPr>
            <w:rStyle w:val="Hyperlink"/>
          </w:rPr>
          <w:t xml:space="preserve">https://doi.org/10.1139/f06-081</w:t>
        </w:r>
      </w:hyperlink>
      <w:r>
        <w:t xml:space="preserve">.</w:t>
      </w:r>
    </w:p>
    <w:bookmarkEnd w:id="31"/>
    <w:bookmarkStart w:id="33" w:name="ref-volkoff_effects_2020"/>
    <w:p>
      <w:pPr>
        <w:pStyle w:val="Bibliography"/>
      </w:pPr>
      <w:r>
        <w:t xml:space="preserve">Volkoff, Helene, and Ivar Rønnestad. 2020.</w:t>
      </w:r>
      <w:r>
        <w:t xml:space="preserve"> </w:t>
      </w:r>
      <w:r>
        <w:t xml:space="preserve">“Effects of Temperature on Feeding and Digestive Processes in Fish.”</w:t>
      </w:r>
      <w:r>
        <w:t xml:space="preserve"> </w:t>
      </w:r>
      <w:r>
        <w:rPr>
          <w:i/>
          <w:iCs/>
        </w:rPr>
        <w:t xml:space="preserve">Temperature</w:t>
      </w:r>
      <w:r>
        <w:t xml:space="preserve"> </w:t>
      </w:r>
      <w:r>
        <w:t xml:space="preserve">7 (4): 307–20.</w:t>
      </w:r>
      <w:r>
        <w:t xml:space="preserve"> </w:t>
      </w:r>
      <w:hyperlink r:id="rId32">
        <w:r>
          <w:rPr>
            <w:rStyle w:val="Hyperlink"/>
          </w:rPr>
          <w:t xml:space="preserve">https://doi.org/10.1080/23328940.2020.1765950</w:t>
        </w:r>
      </w:hyperlink>
      <w:r>
        <w:t xml:space="preserve">.</w:t>
      </w:r>
    </w:p>
    <w:bookmarkEnd w:id="33"/>
    <w:bookmarkStart w:id="35" w:name="ref-zenga_assessing_2020"/>
    <w:p>
      <w:pPr>
        <w:pStyle w:val="Bibliography"/>
      </w:pPr>
      <w:r>
        <w:t xml:space="preserve">Zenga, Anthony. 2020.</w:t>
      </w:r>
      <w:r>
        <w:t xml:space="preserve"> </w:t>
      </w:r>
      <w:r>
        <w:t xml:space="preserve">“Assessing Lipid Content in Migrating Alewife.”</w:t>
      </w:r>
      <w:r>
        <w:t xml:space="preserve"> </w:t>
      </w:r>
      <w:r>
        <w:t xml:space="preserve">Honors thesis, University of Maine.</w:t>
      </w:r>
      <w:r>
        <w:t xml:space="preserve"> </w:t>
      </w:r>
      <w:hyperlink r:id="rId34">
        <w:r>
          <w:rPr>
            <w:rStyle w:val="Hyperlink"/>
          </w:rPr>
          <w:t xml:space="preserve">https://digitalcommons.library.umaine.edu/honors/616</w:t>
        </w:r>
      </w:hyperlink>
      <w:r>
        <w:t xml:space="preserve">.</w:t>
      </w:r>
    </w:p>
    <w:bookmarkEnd w:id="35"/>
    <w:bookmarkEnd w:id="36"/>
    <w:bookmarkEnd w:id="37"/>
    <w:bookmarkEnd w:id="38"/>
    <w:sectPr w:rsidR="00E22D22">
      <w:pgSz w:h="15840" w:w="12240"/>
      <w:pgMar w:bottom="1440" w:footer="708" w:gutter="0" w:header="708"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3F002B30"/>
    <w:multiLevelType w:val="hybridMultilevel"/>
    <w:tmpl w:val="3B1AA620"/>
    <w:lvl w:ilvl="0" w:tplc="CD4211B2">
      <w:start w:val="1"/>
      <w:numFmt w:val="bullet"/>
      <w:lvlText w:val="•"/>
      <w:lvlJc w:val="left"/>
      <w:pPr>
        <w:ind w:hanging="360" w:left="720"/>
      </w:pPr>
      <w:rPr>
        <w:rFonts w:ascii="Calibri" w:cs="Calibri" w:eastAsia="Calibri" w:hAnsi="Calibri"/>
        <w:color w:val="0C7ABA"/>
      </w:rPr>
    </w:lvl>
    <w:lvl w:ilvl="1" w:tplc="20C8ED5C">
      <w:numFmt w:val="decimal"/>
      <w:lvlText w:val=""/>
      <w:lvlJc w:val="left"/>
    </w:lvl>
    <w:lvl w:ilvl="2" w:tplc="75164A96">
      <w:numFmt w:val="decimal"/>
      <w:lvlText w:val=""/>
      <w:lvlJc w:val="left"/>
    </w:lvl>
    <w:lvl w:ilvl="3" w:tplc="C5668DB8">
      <w:numFmt w:val="decimal"/>
      <w:lvlText w:val=""/>
      <w:lvlJc w:val="left"/>
    </w:lvl>
    <w:lvl w:ilvl="4" w:tplc="4FDC3A46">
      <w:numFmt w:val="decimal"/>
      <w:lvlText w:val=""/>
      <w:lvlJc w:val="left"/>
    </w:lvl>
    <w:lvl w:ilvl="5" w:tplc="E29638F6">
      <w:numFmt w:val="decimal"/>
      <w:lvlText w:val=""/>
      <w:lvlJc w:val="left"/>
    </w:lvl>
    <w:lvl w:ilvl="6" w:tplc="BA5C1422">
      <w:numFmt w:val="decimal"/>
      <w:lvlText w:val=""/>
      <w:lvlJc w:val="left"/>
    </w:lvl>
    <w:lvl w:ilvl="7" w:tplc="E4D69DDC">
      <w:numFmt w:val="decimal"/>
      <w:lvlText w:val=""/>
      <w:lvlJc w:val="left"/>
    </w:lvl>
    <w:lvl w:ilvl="8" w:tplc="9C168A2C">
      <w:numFmt w:val="decimal"/>
      <w:lvlText w:val=""/>
      <w:lvlJc w:val="left"/>
    </w:lvl>
  </w:abstractNum>
  <w:abstractNum w15:restartNumberingAfterBreak="0" w:abstractNumId="1">
    <w:nsid w:val="5FE22841"/>
    <w:multiLevelType w:val="hybridMultilevel"/>
    <w:tmpl w:val="0B8429B0"/>
    <w:lvl w:ilvl="0" w:tplc="B8F65D48">
      <w:start w:val="1"/>
      <w:numFmt w:val="bullet"/>
      <w:lvlText w:val="●"/>
      <w:lvlJc w:val="left"/>
      <w:pPr>
        <w:ind w:hanging="360" w:left="720"/>
      </w:pPr>
    </w:lvl>
    <w:lvl w:ilvl="1" w:tplc="07AEFD42">
      <w:start w:val="1"/>
      <w:numFmt w:val="bullet"/>
      <w:lvlText w:val="○"/>
      <w:lvlJc w:val="left"/>
      <w:pPr>
        <w:ind w:hanging="360" w:left="1440"/>
      </w:pPr>
    </w:lvl>
    <w:lvl w:ilvl="2" w:tplc="887ED00C">
      <w:start w:val="1"/>
      <w:numFmt w:val="bullet"/>
      <w:lvlText w:val="■"/>
      <w:lvlJc w:val="left"/>
      <w:pPr>
        <w:ind w:hanging="360" w:left="2160"/>
      </w:pPr>
    </w:lvl>
    <w:lvl w:ilvl="3" w:tplc="04941B82">
      <w:start w:val="1"/>
      <w:numFmt w:val="bullet"/>
      <w:lvlText w:val="●"/>
      <w:lvlJc w:val="left"/>
      <w:pPr>
        <w:ind w:hanging="360" w:left="2880"/>
      </w:pPr>
    </w:lvl>
    <w:lvl w:ilvl="4" w:tplc="D4E887E8">
      <w:start w:val="1"/>
      <w:numFmt w:val="bullet"/>
      <w:lvlText w:val="○"/>
      <w:lvlJc w:val="left"/>
      <w:pPr>
        <w:ind w:hanging="360" w:left="3600"/>
      </w:pPr>
    </w:lvl>
    <w:lvl w:ilvl="5" w:tplc="6D9EB200">
      <w:start w:val="1"/>
      <w:numFmt w:val="bullet"/>
      <w:lvlText w:val="■"/>
      <w:lvlJc w:val="left"/>
      <w:pPr>
        <w:ind w:hanging="360" w:left="4320"/>
      </w:pPr>
    </w:lvl>
    <w:lvl w:ilvl="6" w:tplc="4DCA9382">
      <w:start w:val="1"/>
      <w:numFmt w:val="bullet"/>
      <w:lvlText w:val="●"/>
      <w:lvlJc w:val="left"/>
      <w:pPr>
        <w:ind w:hanging="360" w:left="5040"/>
      </w:pPr>
    </w:lvl>
    <w:lvl w:ilvl="7" w:tplc="607E2C94">
      <w:start w:val="1"/>
      <w:numFmt w:val="bullet"/>
      <w:lvlText w:val="●"/>
      <w:lvlJc w:val="left"/>
      <w:pPr>
        <w:ind w:hanging="360" w:left="5760"/>
      </w:pPr>
    </w:lvl>
    <w:lvl w:ilvl="8" w:tplc="B8BCA7A8">
      <w:start w:val="1"/>
      <w:numFmt w:val="bullet"/>
      <w:lvlText w:val="●"/>
      <w:lvlJc w:val="left"/>
      <w:pPr>
        <w:ind w:hanging="360" w:left="6480"/>
      </w:p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abstractNumId w:val="1"/>
    <w:lvlOverride w:ilvl="0">
      <w:startOverride w:val="1"/>
    </w:lvlOverride>
  </w: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displayBackgroundShape/>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B39"/>
    <w:rsid w:val="00287085"/>
    <w:rsid w:val="00AA7070"/>
    <w:rsid w:val="00E22D22"/>
    <w:rsid w:val="00EF2B39"/>
    <w:rsid w:val="00F33BD0"/>
  </w:rsids>
  <w:themeFontLang w:val="en-US"/>
  <w:clrSchemeMapping w:accent1="accent1" w:accent2="accent2" w:accent3="accent3" w:accent4="accent4" w:accent5="accent5" w:accent6="accent6" w:bg1="light1" w:bg2="light2" w:followedHyperlink="followedHyperlink" w:hyperlink="hyperlink" w:t1="dark1" w:t2="dark2"/>
  <w:shapeDefaults>
    <o:shapedefaults spidmax="1026"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Calibri" w:cs="Calibri" w:eastAsia="Calibri" w:hAnsi="Calibri"/>
        <w:color w:val="1A1A1A"/>
        <w:sz w:val="22"/>
        <w:szCs w:val="22"/>
        <w:lang w:bidi="ar-SA" w:eastAsia="en-US" w:val="en-US"/>
      </w:rPr>
    </w:rPrDefault>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pPr>
      <w:spacing w:after="160" w:line="276" w:lineRule="auto"/>
    </w:pPr>
  </w:style>
  <w:style w:styleId="Heading1" w:type="paragraph">
    <w:name w:val="heading 1"/>
    <w:basedOn w:val="Normal"/>
    <w:next w:val="Normal"/>
    <w:uiPriority w:val="9"/>
    <w:qFormat/>
    <w:pPr>
      <w:pBdr>
        <w:bottom w:color="1E90FF" w:space="4" w:sz="6" w:val="single"/>
      </w:pBdr>
      <w:spacing w:after="240" w:before="480"/>
      <w:outlineLvl w:val="0"/>
    </w:pPr>
    <w:rPr>
      <w:b/>
      <w:bCs/>
      <w:color w:val="0A3D62"/>
      <w:sz w:val="44"/>
      <w:szCs w:val="44"/>
    </w:rPr>
  </w:style>
  <w:style w:styleId="Heading2" w:type="paragraph">
    <w:name w:val="heading 2"/>
    <w:basedOn w:val="Normal"/>
    <w:next w:val="Normal"/>
    <w:uiPriority w:val="9"/>
    <w:unhideWhenUsed/>
    <w:qFormat/>
    <w:pPr>
      <w:pBdr>
        <w:bottom w:color="E8F4FD" w:space="2" w:sz="3" w:val="single"/>
      </w:pBdr>
      <w:spacing w:before="320"/>
      <w:outlineLvl w:val="1"/>
    </w:pPr>
    <w:rPr>
      <w:b/>
      <w:bCs/>
      <w:color w:val="0A3D62"/>
      <w:sz w:val="32"/>
      <w:szCs w:val="32"/>
    </w:rPr>
  </w:style>
  <w:style w:styleId="Heading3" w:type="paragraph">
    <w:name w:val="heading 3"/>
    <w:basedOn w:val="Normal"/>
    <w:next w:val="Normal"/>
    <w:uiPriority w:val="9"/>
    <w:unhideWhenUsed/>
    <w:qFormat/>
    <w:pPr>
      <w:spacing w:after="120" w:before="240"/>
      <w:outlineLvl w:val="2"/>
    </w:pPr>
    <w:rPr>
      <w:b/>
      <w:bCs/>
      <w:color w:val="0C7ABA"/>
      <w:sz w:val="26"/>
      <w:szCs w:val="26"/>
    </w:rPr>
  </w:style>
  <w:style w:styleId="Heading4" w:type="paragraph">
    <w:name w:val="heading 4"/>
    <w:basedOn w:val="Normal"/>
    <w:next w:val="Normal"/>
    <w:uiPriority w:val="9"/>
    <w:unhideWhenUsed/>
    <w:qFormat/>
    <w:pPr>
      <w:spacing w:after="80" w:before="160"/>
      <w:outlineLvl w:val="3"/>
    </w:pPr>
    <w:rPr>
      <w:b/>
      <w:bCs/>
      <w:i/>
      <w:iCs/>
      <w:color w:val="0C7ABA"/>
      <w:sz w:val="24"/>
      <w:szCs w:val="24"/>
    </w:rPr>
  </w:style>
  <w:style w:styleId="Heading5" w:type="paragraph">
    <w:name w:val="heading 5"/>
    <w:basedOn w:val="Normal"/>
    <w:next w:val="Normal"/>
    <w:uiPriority w:val="9"/>
    <w:semiHidden/>
    <w:unhideWhenUsed/>
    <w:qFormat/>
    <w:pPr>
      <w:outlineLvl w:val="4"/>
    </w:pPr>
    <w:rPr>
      <w:color w:val="2E74B5"/>
    </w:rPr>
  </w:style>
  <w:style w:styleId="Heading6" w:type="paragraph">
    <w:name w:val="heading 6"/>
    <w:basedOn w:val="Normal"/>
    <w:next w:val="Normal"/>
    <w:uiPriority w:val="9"/>
    <w:semiHidden/>
    <w:unhideWhenUsed/>
    <w:qFormat/>
    <w:pPr>
      <w:outlineLvl w:val="5"/>
    </w:pPr>
    <w:rPr>
      <w:color w:val="1F4D78"/>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Title" w:type="paragraph">
    <w:name w:val="Title"/>
    <w:basedOn w:val="Normal"/>
    <w:next w:val="Normal"/>
    <w:uiPriority w:val="10"/>
    <w:qFormat/>
    <w:rPr>
      <w:sz w:val="56"/>
      <w:szCs w:val="56"/>
    </w:rPr>
  </w:style>
  <w:style w:customStyle="1" w:styleId="Strong1" w:type="paragraph">
    <w:name w:val="Strong1"/>
    <w:basedOn w:val="Normal"/>
    <w:next w:val="Normal"/>
    <w:qFormat/>
    <w:rPr>
      <w:b/>
      <w:bCs/>
    </w:rPr>
  </w:style>
  <w:style w:styleId="ListParagraph" w:type="paragraph">
    <w:name w:val="List Paragraph"/>
    <w:basedOn w:val="Normal"/>
    <w:qFormat/>
  </w:style>
  <w:style w:styleId="Hyperlink" w:type="character">
    <w:name w:val="Hyperlink"/>
    <w:uiPriority w:val="99"/>
    <w:unhideWhenUsed/>
    <w:rPr>
      <w:color w:val="0563C1"/>
      <w:u w:val="single"/>
    </w:rPr>
  </w:style>
  <w:style w:styleId="FootnoteReference" w:type="character">
    <w:name w:val="footnote reference"/>
    <w:uiPriority w:val="99"/>
    <w:semiHidden/>
    <w:unhideWhenUsed/>
    <w:rPr>
      <w:vertAlign w:val="superscript"/>
    </w:rPr>
  </w:style>
  <w:style w:styleId="FootnoteText" w:type="paragraph">
    <w:name w:val="footnote text"/>
    <w:basedOn w:val="Normal"/>
    <w:link w:val="FootnoteTextChar"/>
    <w:uiPriority w:val="99"/>
    <w:semiHidden/>
    <w:unhideWhenUsed/>
    <w:pPr>
      <w:spacing w:after="0" w:line="240" w:lineRule="auto"/>
    </w:pPr>
    <w:rPr>
      <w:sz w:val="20"/>
      <w:szCs w:val="20"/>
    </w:rPr>
  </w:style>
  <w:style w:customStyle="1" w:styleId="FootnoteTextChar" w:type="character">
    <w:name w:val="Footnote Text Char"/>
    <w:link w:val="FootnoteText"/>
    <w:uiPriority w:val="99"/>
    <w:semiHidden/>
    <w:unhideWhenUsed/>
    <w:rPr>
      <w:sz w:val="20"/>
      <w:szCs w:val="20"/>
    </w:rPr>
  </w:style>
  <w:style w:styleId="EndnoteReference" w:type="character">
    <w:name w:val="endnote reference"/>
    <w:uiPriority w:val="99"/>
    <w:semiHidden/>
    <w:unhideWhenUsed/>
    <w:rPr>
      <w:vertAlign w:val="superscript"/>
    </w:rPr>
  </w:style>
  <w:style w:styleId="EndnoteText" w:type="paragraph">
    <w:name w:val="endnote text"/>
    <w:basedOn w:val="Normal"/>
    <w:link w:val="EndnoteTextChar"/>
    <w:uiPriority w:val="99"/>
    <w:semiHidden/>
    <w:unhideWhenUsed/>
    <w:pPr>
      <w:spacing w:after="0" w:line="240" w:lineRule="auto"/>
    </w:pPr>
    <w:rPr>
      <w:sz w:val="20"/>
      <w:szCs w:val="20"/>
    </w:rPr>
  </w:style>
  <w:style w:customStyle="1" w:styleId="EndnoteTextChar" w:type="character">
    <w:name w:val="Endnote Text Char"/>
    <w:link w:val="EndnoteText"/>
    <w:uiPriority w:val="99"/>
    <w:semiHidden/>
    <w:unhideWhenUsed/>
    <w:rPr>
      <w:sz w:val="20"/>
      <w:szCs w:val="20"/>
    </w:rPr>
  </w:style>
  <w:style w:customStyle="1" w:styleId="verbatim" w:type="paragraph">
    <w:name w:val="verbatim"/>
    <w:basedOn w:val="Normal"/>
    <w:pPr>
      <w:pBdr>
        <w:left w:color="1E90FF" w:space="6" w:sz="12" w:val="single"/>
      </w:pBdr>
      <w:shd w:color="auto" w:fill="E8F4FD" w:val="clear"/>
      <w:spacing w:after="120" w:before="120"/>
      <w:ind w:left="360"/>
    </w:pPr>
    <w:rPr>
      <w:rFonts w:ascii="Courier New" w:cs="Courier New" w:eastAsia="Courier New" w:hAnsi="Courier New"/>
      <w:color w:val="0A3D62"/>
      <w:sz w:val="18"/>
      <w:szCs w:val="18"/>
    </w:rPr>
  </w:style>
  <w:style w:styleId="GridTable5Dark-Accent5" w:type="table">
    <w:name w:val="Grid Table 5 Dark Accent 5"/>
    <w:basedOn w:val="TableNormal"/>
    <w:uiPriority w:val="50"/>
    <w:rsid w:val="00AA7070"/>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EEAF6" w:themeFill="accent5" w:themeFillTint="33" w:val="clear"/>
    </w:tcPr>
    <w:tblStylePr w:type="firstRow">
      <w:rPr>
        <w:b/>
        <w:bCs/>
        <w:color w:themeColor="background1" w:val="FFFFFF"/>
      </w:rPr>
      <w:tblPr/>
      <w:tcPr>
        <w:tcBorders>
          <w:top w:color="FFFFFF" w:space="0" w:sz="4" w:themeColor="background1" w:val="single"/>
          <w:left w:color="FFFFFF" w:space="0" w:sz="4" w:themeColor="background1" w:val="single"/>
          <w:right w:color="FFFFFF" w:space="0" w:sz="4" w:themeColor="background1" w:val="single"/>
          <w:insideH w:val="nil"/>
          <w:insideV w:val="nil"/>
        </w:tcBorders>
        <w:shd w:color="auto" w:fill="5B9BD5" w:themeFill="accent5" w:val="clear"/>
      </w:tcPr>
    </w:tblStylePr>
    <w:tblStylePr w:type="lastRow">
      <w:rPr>
        <w:b/>
        <w:bCs/>
        <w:color w:themeColor="background1" w:val="FFFFFF"/>
      </w:rPr>
      <w:tblPr/>
      <w:tcPr>
        <w:tcBorders>
          <w:left w:color="FFFFFF" w:space="0" w:sz="4" w:themeColor="background1" w:val="single"/>
          <w:bottom w:color="FFFFFF" w:space="0" w:sz="4" w:themeColor="background1" w:val="single"/>
          <w:right w:color="FFFFFF" w:space="0" w:sz="4" w:themeColor="background1" w:val="single"/>
          <w:insideH w:val="nil"/>
          <w:insideV w:val="nil"/>
        </w:tcBorders>
        <w:shd w:color="auto" w:fill="5B9BD5" w:themeFill="accent5" w:val="clear"/>
      </w:tcPr>
    </w:tblStylePr>
    <w:tblStylePr w:type="firstCol">
      <w:rPr>
        <w:b/>
        <w:bCs/>
        <w:color w:themeColor="background1" w:val="FFFFFF"/>
      </w:rPr>
      <w:tblPr/>
      <w:tcPr>
        <w:tcBorders>
          <w:top w:color="FFFFFF" w:space="0" w:sz="4" w:themeColor="background1" w:val="single"/>
          <w:left w:color="FFFFFF" w:space="0" w:sz="4" w:themeColor="background1" w:val="single"/>
          <w:bottom w:color="FFFFFF" w:space="0" w:sz="4" w:themeColor="background1" w:val="single"/>
          <w:insideV w:val="nil"/>
        </w:tcBorders>
        <w:shd w:color="auto" w:fill="5B9BD5" w:themeFill="accent5" w:val="clear"/>
      </w:tcPr>
    </w:tblStylePr>
    <w:tblStylePr w:type="lastCol">
      <w:rPr>
        <w:b/>
        <w:bCs/>
        <w:color w:themeColor="background1" w:val="FFFFFF"/>
      </w:rPr>
      <w:tblPr/>
      <w:tcPr>
        <w:tcBorders>
          <w:top w:color="FFFFFF" w:space="0" w:sz="4" w:themeColor="background1" w:val="single"/>
          <w:bottom w:color="FFFFFF" w:space="0" w:sz="4" w:themeColor="background1" w:val="single"/>
          <w:right w:color="FFFFFF" w:space="0" w:sz="4" w:themeColor="background1" w:val="single"/>
          <w:insideV w:val="nil"/>
        </w:tcBorders>
        <w:shd w:color="auto" w:fill="5B9BD5" w:themeFill="accent5" w:val="clear"/>
      </w:tcPr>
    </w:tblStylePr>
    <w:tblStylePr w:type="band1Vert">
      <w:tblPr/>
      <w:tcPr>
        <w:shd w:color="auto" w:fill="BDD6EE" w:themeFill="accent5" w:themeFillTint="66" w:val="clear"/>
      </w:tcPr>
    </w:tblStylePr>
    <w:tblStylePr w:type="band1Horz">
      <w:tblPr/>
      <w:tcPr>
        <w:shd w:color="auto" w:fill="BDD6EE" w:themeFill="accent5" w:themeFillTint="66" w:val="clear"/>
      </w:tcPr>
    </w:tblStylePr>
  </w:style>
  <w:style w:styleId="GridTable4-Accent1" w:type="table">
    <w:name w:val="Grid Table 4 Accent 1"/>
    <w:basedOn w:val="TableNormal"/>
    <w:uiPriority w:val="49"/>
    <w:rsid w:val="00AA7070"/>
    <w:tblPr>
      <w:tblStyleRowBandSize w:val="1"/>
      <w:tblStyleColBandSize w:val="1"/>
      <w:tblBorders>
        <w:top w:color="8EAADB" w:space="0" w:sz="4" w:themeColor="accent1" w:themeTint="99" w:val="single"/>
        <w:left w:color="8EAADB" w:space="0" w:sz="4" w:themeColor="accent1" w:themeTint="99" w:val="single"/>
        <w:bottom w:color="8EAADB" w:space="0" w:sz="4" w:themeColor="accent1" w:themeTint="99" w:val="single"/>
        <w:right w:color="8EAADB" w:space="0" w:sz="4" w:themeColor="accent1" w:themeTint="99" w:val="single"/>
        <w:insideH w:color="8EAADB" w:space="0" w:sz="4" w:themeColor="accent1" w:themeTint="99" w:val="single"/>
        <w:insideV w:color="8EAADB" w:space="0" w:sz="4" w:themeColor="accent1" w:themeTint="99" w:val="single"/>
      </w:tblBorders>
    </w:tblPr>
    <w:tblStylePr w:type="firstRow">
      <w:rPr>
        <w:b/>
        <w:bCs/>
        <w:color w:themeColor="background1" w:val="FFFFFF"/>
      </w:rPr>
      <w:tblPr/>
      <w:tcPr>
        <w:tcBorders>
          <w:top w:color="4472C4" w:space="0" w:sz="4" w:themeColor="accent1" w:val="single"/>
          <w:left w:color="4472C4" w:space="0" w:sz="4" w:themeColor="accent1" w:val="single"/>
          <w:bottom w:color="4472C4" w:space="0" w:sz="4" w:themeColor="accent1" w:val="single"/>
          <w:right w:color="4472C4" w:space="0" w:sz="4" w:themeColor="accent1" w:val="single"/>
          <w:insideH w:val="nil"/>
          <w:insideV w:val="nil"/>
        </w:tcBorders>
        <w:shd w:color="auto" w:fill="4472C4" w:themeFill="accent1" w:val="clear"/>
      </w:tcPr>
    </w:tblStylePr>
    <w:tblStylePr w:type="lastRow">
      <w:rPr>
        <w:b/>
        <w:bCs/>
      </w:rPr>
      <w:tblPr/>
      <w:tcPr>
        <w:tcBorders>
          <w:top w:color="4472C4" w:space="0" w:sz="4" w:themeColor="accent1" w:val="double"/>
        </w:tcBorders>
      </w:tcPr>
    </w:tblStylePr>
    <w:tblStylePr w:type="firstCol">
      <w:rPr>
        <w:b/>
        <w:bCs/>
      </w:rPr>
    </w:tblStylePr>
    <w:tblStylePr w:type="lastCol">
      <w:rPr>
        <w:b/>
        <w:bCs/>
      </w:rPr>
    </w:tblStylePr>
    <w:tblStylePr w:type="band1Vert">
      <w:tblPr/>
      <w:tcPr>
        <w:shd w:color="auto" w:fill="D9E2F3" w:themeFill="accent1" w:themeFillTint="33" w:val="clear"/>
      </w:tcPr>
    </w:tblStylePr>
    <w:tblStylePr w:type="band1Horz">
      <w:tblPr/>
      <w:tcPr>
        <w:shd w:color="auto" w:fill="D9E2F3" w:themeFill="accent1" w:themeFillTint="33" w:val="clear"/>
      </w:tcPr>
    </w:tblStylePr>
  </w:style>
  <w:style w:styleId="ListTable6Colorful-Accent1" w:type="table">
    <w:name w:val="List Table 6 Colorful Accent 1"/>
    <w:basedOn w:val="TableNormal"/>
    <w:uiPriority w:val="51"/>
    <w:rsid w:val="00AA7070"/>
    <w:rPr>
      <w:color w:themeColor="accent1" w:themeShade="BF" w:val="2F5496"/>
    </w:rPr>
    <w:tblPr>
      <w:tblStyleRowBandSize w:val="1"/>
      <w:tblStyleColBandSize w:val="1"/>
      <w:tblBorders>
        <w:top w:color="4472C4" w:space="0" w:sz="4" w:themeColor="accent1" w:val="single"/>
        <w:bottom w:color="4472C4" w:space="0" w:sz="4" w:themeColor="accent1" w:val="single"/>
      </w:tblBorders>
    </w:tblPr>
    <w:tblStylePr w:type="firstRow">
      <w:rPr>
        <w:b/>
        <w:bCs/>
      </w:rPr>
      <w:tblPr/>
      <w:tcPr>
        <w:tcBorders>
          <w:bottom w:color="4472C4" w:space="0" w:sz="4" w:themeColor="accent1" w:val="single"/>
        </w:tcBorders>
      </w:tcPr>
    </w:tblStylePr>
    <w:tblStylePr w:type="lastRow">
      <w:rPr>
        <w:b/>
        <w:bCs/>
      </w:rPr>
      <w:tblPr/>
      <w:tcPr>
        <w:tcBorders>
          <w:top w:color="4472C4" w:space="0" w:sz="4" w:themeColor="accent1" w:val="double"/>
        </w:tcBorders>
      </w:tcPr>
    </w:tblStylePr>
    <w:tblStylePr w:type="firstCol">
      <w:rPr>
        <w:b/>
        <w:bCs/>
      </w:rPr>
    </w:tblStylePr>
    <w:tblStylePr w:type="lastCol">
      <w:rPr>
        <w:b/>
        <w:bCs/>
      </w:rPr>
    </w:tblStylePr>
    <w:tblStylePr w:type="band1Vert">
      <w:tblPr/>
      <w:tcPr>
        <w:shd w:color="auto" w:fill="D9E2F3" w:themeFill="accent1" w:themeFillTint="33" w:val="clear"/>
      </w:tcPr>
    </w:tblStylePr>
    <w:tblStylePr w:type="band1Horz">
      <w:tblPr/>
      <w:tcPr>
        <w:shd w:color="auto" w:fill="D9E2F3" w:themeFill="accent1" w:themeFillTint="33" w:val="clear"/>
      </w:tcPr>
    </w:tblStylePr>
  </w:style>
  <w:style w:styleId="TOCHeading" w:type="paragraph">
    <w:name w:val="TOC Heading"/>
    <w:basedOn w:val="Heading1"/>
    <w:next w:val="Normal"/>
    <w:uiPriority w:val="39"/>
    <w:unhideWhenUsed/>
    <w:qFormat/>
    <w:rsid w:val="00287085"/>
    <w:pPr>
      <w:keepNext/>
      <w:keepLines/>
      <w:pBdr>
        <w:bottom w:color="auto" w:space="0" w:sz="0" w:val="none"/>
      </w:pBdr>
      <w:spacing w:after="0" w:before="240" w:line="259" w:lineRule="auto"/>
      <w:outlineLvl w:val="9"/>
    </w:pPr>
    <w:rPr>
      <w:rFonts w:asciiTheme="majorHAnsi" w:cstheme="majorBidi" w:eastAsiaTheme="majorEastAsia" w:hAnsiTheme="majorHAnsi"/>
      <w:b w:val="0"/>
      <w:bCs w:val="0"/>
      <w:color w:themeColor="accent1" w:themeShade="BF" w:val="2F5496"/>
      <w:sz w:val="32"/>
      <w:szCs w:val="32"/>
    </w:rPr>
  </w:style>
  <w:style w:styleId="TOC1" w:type="paragraph">
    <w:name w:val="toc 1"/>
    <w:basedOn w:val="Normal"/>
    <w:next w:val="Normal"/>
    <w:autoRedefine/>
    <w:uiPriority w:val="39"/>
    <w:unhideWhenUsed/>
    <w:rsid w:val="00287085"/>
    <w:pPr>
      <w:spacing w:after="100"/>
    </w:pPr>
  </w:style>
  <w:style w:styleId="TOC2" w:type="paragraph">
    <w:name w:val="toc 2"/>
    <w:basedOn w:val="Normal"/>
    <w:next w:val="Normal"/>
    <w:autoRedefine/>
    <w:uiPriority w:val="39"/>
    <w:unhideWhenUsed/>
    <w:rsid w:val="00287085"/>
    <w:pPr>
      <w:spacing w:after="100"/>
      <w:ind w:left="220"/>
    </w:pPr>
  </w:style>
  <w:style w:styleId="TOC3" w:type="paragraph">
    <w:name w:val="toc 3"/>
    <w:basedOn w:val="Normal"/>
    <w:next w:val="Normal"/>
    <w:autoRedefine/>
    <w:uiPriority w:val="39"/>
    <w:unhideWhenUsed/>
    <w:rsid w:val="00287085"/>
    <w:pPr>
      <w:spacing w:after="100"/>
      <w:ind w:left="440"/>
    </w:p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b/>
      <w:color w:val="204a87"/>
      <w:shd w:val="clear" w:fill="f8f8f8"/>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8f5902"/>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b/>
      <w:color w:val="ce5c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i/>
      <w:color w:val="8f5902"/>
      <w:shd w:val="clear" w:fill="f8f8f8"/>
    </w:rPr>
  </w:style>
  <w:style w:type="character" w:customStyle="1" w:styleId="DocumentationTok">
    <w:name w:val="DocumentationTok"/>
    <w:basedOn w:val="VerbatimChar"/>
    <w:rPr>
      <w:b/>
      <w:i/>
      <w:color w:val="8f5902"/>
      <w:shd w:val="clear" w:fill="f8f8f8"/>
    </w:rPr>
  </w:style>
  <w:style w:type="character" w:customStyle="1" w:styleId="AnnotationTok">
    <w:name w:val="AnnotationTok"/>
    <w:basedOn w:val="VerbatimChar"/>
    <w:rPr>
      <w:b/>
      <w:i/>
      <w:color w:val="8f5902"/>
      <w:shd w:val="clear" w:fill="f8f8f8"/>
    </w:rPr>
  </w:style>
  <w:style w:type="character" w:customStyle="1" w:styleId="CommentVarTok">
    <w:name w:val="CommentVarTok"/>
    <w:basedOn w:val="VerbatimChar"/>
    <w:rPr>
      <w:b/>
      <w:i/>
      <w:color w:val="8f5902"/>
      <w:shd w:val="clear" w:fill="f8f8f8"/>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b/>
      <w:color w:val="204a87"/>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b/>
      <w:color w:val="204a87"/>
      <w:shd w:val="clear" w:fill="f8f8f8"/>
    </w:rPr>
  </w:style>
  <w:style w:type="character" w:customStyle="1" w:styleId="OperatorTok">
    <w:name w:val="OperatorTok"/>
    <w:basedOn w:val="VerbatimChar"/>
    <w:rPr>
      <w:b/>
      <w:color w:val="ce5c00"/>
      <w:shd w:val="clear" w:fill="f8f8f8"/>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i/>
      <w:color w:val="8f5902"/>
      <w:shd w:val="clear" w:fill="f8f8f8"/>
    </w:rPr>
  </w:style>
  <w:style w:type="character" w:customStyle="1" w:styleId="AttributeTok">
    <w:name w:val="AttributeTok"/>
    <w:basedOn w:val="VerbatimChar"/>
    <w:rPr>
      <w:color w:val="204a87"/>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b/>
      <w:i/>
      <w:color w:val="8f5902"/>
      <w:shd w:val="clear" w:fill="f8f8f8"/>
    </w:rPr>
  </w:style>
  <w:style w:type="character" w:customStyle="1" w:styleId="WarningTok">
    <w:name w:val="WarningTok"/>
    <w:basedOn w:val="VerbatimChar"/>
    <w:rPr>
      <w:b/>
      <w:i/>
      <w:color w:val="8f5902"/>
      <w:shd w:val="clear" w:fill="f8f8f8"/>
    </w:rPr>
  </w:style>
  <w:style w:type="character" w:customStyle="1" w:styleId="AlertTok">
    <w:name w:val="AlertTok"/>
    <w:basedOn w:val="VerbatimChar"/>
    <w:rPr>
      <w:color w:val="ef2929"/>
      <w:shd w:val="clear" w:fill="f8f8f8"/>
    </w:rPr>
  </w:style>
  <w:style w:type="character" w:customStyle="1" w:styleId="ErrorTok">
    <w:name w:val="ErrorTok"/>
    <w:basedOn w:val="VerbatimChar"/>
    <w:rPr>
      <w:b/>
      <w:color w:val="a40000"/>
      <w:shd w:val="clear" w:fill="f8f8f8"/>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34" Target="https://digitalcommons.library.umaine.edu/honors/616" TargetMode="External" /><Relationship Type="http://schemas.openxmlformats.org/officeDocument/2006/relationships/hyperlink" Id="rId32" Target="https://doi.org/10.1080/23328940.2020.1765950" TargetMode="External" /><Relationship Type="http://schemas.openxmlformats.org/officeDocument/2006/relationships/hyperlink" Id="rId30" Target="https://doi.org/10.1139/f06-081" TargetMode="External" /><Relationship Type="http://schemas.openxmlformats.org/officeDocument/2006/relationships/hyperlink" Id="rId28" Target="https://doi.org/10.1242/jeb.027102" TargetMode="External" /><Relationship Type="http://schemas.openxmlformats.org/officeDocument/2006/relationships/hyperlink" Id="rId26" Target="https://doi.org/10.1890/03-9000" TargetMode="External" /><Relationship Type="http://schemas.openxmlformats.org/officeDocument/2006/relationships/hyperlink" Id="rId24" Target="https://doi.org/10.23818/limn.32.24" TargetMode="External" /></Relationships>
</file>

<file path=word/_rels/footnotes.xml.rels><?xml version="1.0" encoding="UTF-8"?><Relationships xmlns="http://schemas.openxmlformats.org/package/2006/relationships"><Relationship Type="http://schemas.openxmlformats.org/officeDocument/2006/relationships/hyperlink" Id="rId34" Target="https://digitalcommons.library.umaine.edu/honors/616" TargetMode="External" /><Relationship Type="http://schemas.openxmlformats.org/officeDocument/2006/relationships/hyperlink" Id="rId32" Target="https://doi.org/10.1080/23328940.2020.1765950" TargetMode="External" /><Relationship Type="http://schemas.openxmlformats.org/officeDocument/2006/relationships/hyperlink" Id="rId30" Target="https://doi.org/10.1139/f06-081" TargetMode="External" /><Relationship Type="http://schemas.openxmlformats.org/officeDocument/2006/relationships/hyperlink" Id="rId28" Target="https://doi.org/10.1242/jeb.027102" TargetMode="External" /><Relationship Type="http://schemas.openxmlformats.org/officeDocument/2006/relationships/hyperlink" Id="rId26" Target="https://doi.org/10.1890/03-9000" TargetMode="External" /><Relationship Type="http://schemas.openxmlformats.org/officeDocument/2006/relationships/hyperlink" Id="rId24" Target="https://doi.org/10.23818/limn.32.2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144</Words>
  <Characters>825</Characters>
  <Application>Microsoft Office Word</Application>
  <DocSecurity>0</DocSecurity>
  <Lines>6</Lines>
  <Paragraphs>1</Paragraphs>
  <ScaleCrop>false</ScaleCrop>
  <Company>Army Golden Master Program</Company>
  <LinksUpToDate>false</LinksUpToDate>
  <CharactersWithSpaces>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2026-07-11T16:23:41Z</dcterms:created>
  <dcterms:modified xsi:type="dcterms:W3CDTF">2026-07-11T16:23:41Z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graphy">
    <vt:lpwstr/>
  </property>
</Properties>
</file>