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7" w:name="introduction"/>
    <w:p>
      <w:pPr>
        <w:pStyle w:val="Heading1"/>
      </w:pPr>
      <w:r>
        <w:t xml:space="preserve">Introduction</w:t>
      </w:r>
    </w:p>
    <w:p>
      <w:pPr>
        <w:pStyle w:val="FirstParagraph"/>
      </w:pPr>
      <w:r>
        <w:t xml:space="preserve">Anadromous fish species such as river herring, striped bass, salmon, and sturgeon navigate coastal and estuarine systems that are increasingly affected by human activity, climate change, and legacy contaminants. Modeling their movement and behavior at fine spatial and temporal scales requires tools that can integrate physiological stressors, environmental variability, and behavior-based decision-making.</w:t>
      </w:r>
    </w:p>
    <w:p>
      <w:pPr>
        <w:pStyle w:val="BodyText"/>
      </w:pPr>
      <w:r>
        <w:t xml:space="preserve">Agent-based models are among the most powerful tools available for ecological forecasting and fisheries management, but they are also among the most complex. Their structure and computational demands can make them difficult to apply in practical management settings. Many biologists and ecologists who hold deep, species-specific expertise often have limited training in advanced programming or systems modeling.</w:t>
      </w:r>
    </w:p>
    <w:p>
      <w:pPr>
        <w:pStyle w:val="BodyText"/>
      </w:pPr>
      <w:r>
        <w:t xml:space="preserve">As a result, traditional approaches to simulating anadromous fish frequently oversimplify or exclude key biological functions and environmental interactions such as salinity exposure and contaminant exposure. Existing models also lack standardized representations of these behaviors and interactions, limiting the applicability of results and reducing their usefulness for applied management. This function library was developed to address these limitations by offering modular, empirically grounded components designed for use in modeling migratory fish. Each function is clearly documented and can be applied independently, allowing for transparent testing, modification, and reuse across a wide range of ecological scenarios and sites.</w:t>
      </w:r>
    </w:p>
    <w:bookmarkStart w:id="16" w:name="structure"/>
    <w:p>
      <w:pPr>
        <w:pStyle w:val="Heading2"/>
      </w:pPr>
      <w:r>
        <w:t xml:space="preserve">Structure</w:t>
      </w:r>
    </w:p>
    <w:p>
      <w:pPr>
        <w:pStyle w:val="FirstParagraph"/>
      </w:pPr>
      <w:r>
        <w:t xml:space="preserve">Each chapter in this library corresponds to a major behavior, physiological function, or foundational component relevant to migratory fish, beginning with:</w:t>
      </w:r>
    </w:p>
    <w:p>
      <w:pPr>
        <w:numPr>
          <w:ilvl w:val="0"/>
          <w:numId w:val="1001"/>
        </w:numPr>
      </w:pPr>
      <w:r>
        <w:rPr>
          <w:b/>
          <w:bCs/>
        </w:rPr>
        <w:t xml:space="preserve">Co-Development of Agent-Based Models</w:t>
      </w:r>
    </w:p>
    <w:p>
      <w:pPr>
        <w:numPr>
          <w:ilvl w:val="0"/>
          <w:numId w:val="1001"/>
        </w:numPr>
      </w:pPr>
      <w:r>
        <w:rPr>
          <w:b/>
          <w:bCs/>
        </w:rPr>
        <w:t xml:space="preserve">Calculate Metabolism</w:t>
      </w:r>
    </w:p>
    <w:p>
      <w:pPr>
        <w:numPr>
          <w:ilvl w:val="0"/>
          <w:numId w:val="1001"/>
        </w:numPr>
      </w:pPr>
      <w:r>
        <w:rPr>
          <w:b/>
          <w:bCs/>
        </w:rPr>
        <w:t xml:space="preserve">Salinity Exposure</w:t>
      </w:r>
    </w:p>
    <w:p>
      <w:pPr>
        <w:numPr>
          <w:ilvl w:val="0"/>
          <w:numId w:val="1001"/>
        </w:numPr>
      </w:pPr>
      <w:r>
        <w:rPr>
          <w:b/>
          <w:bCs/>
        </w:rPr>
        <w:t xml:space="preserve">Migration Cue</w:t>
      </w:r>
    </w:p>
    <w:p>
      <w:pPr>
        <w:numPr>
          <w:ilvl w:val="0"/>
          <w:numId w:val="1001"/>
        </w:numPr>
      </w:pPr>
      <w:r>
        <w:rPr>
          <w:b/>
          <w:bCs/>
        </w:rPr>
        <w:t xml:space="preserve">Contaminant Exposure</w:t>
      </w:r>
    </w:p>
    <w:p>
      <w:pPr>
        <w:numPr>
          <w:ilvl w:val="0"/>
          <w:numId w:val="1001"/>
        </w:numPr>
      </w:pPr>
      <w:r>
        <w:rPr>
          <w:b/>
          <w:bCs/>
        </w:rPr>
        <w:t xml:space="preserve">Digestion</w:t>
      </w:r>
    </w:p>
    <w:p>
      <w:pPr>
        <w:numPr>
          <w:ilvl w:val="0"/>
          <w:numId w:val="1001"/>
        </w:numPr>
      </w:pPr>
      <w:r>
        <w:rPr>
          <w:b/>
          <w:bCs/>
        </w:rPr>
        <w:t xml:space="preserve">Small Particulate Feeding</w:t>
      </w:r>
    </w:p>
    <w:p>
      <w:pPr>
        <w:numPr>
          <w:ilvl w:val="0"/>
          <w:numId w:val="1001"/>
        </w:numPr>
      </w:pPr>
      <w:r>
        <w:rPr>
          <w:b/>
          <w:bCs/>
        </w:rPr>
        <w:t xml:space="preserve">Lipid Catabolism</w:t>
      </w:r>
    </w:p>
    <w:p>
      <w:pPr>
        <w:numPr>
          <w:ilvl w:val="0"/>
          <w:numId w:val="1001"/>
        </w:numPr>
      </w:pPr>
      <w:r>
        <w:rPr>
          <w:b/>
          <w:bCs/>
        </w:rPr>
        <w:t xml:space="preserve">Landward Movement</w:t>
      </w:r>
    </w:p>
    <w:p>
      <w:pPr>
        <w:numPr>
          <w:ilvl w:val="0"/>
          <w:numId w:val="1001"/>
        </w:numPr>
      </w:pPr>
      <w:r>
        <w:rPr>
          <w:b/>
          <w:bCs/>
        </w:rPr>
        <w:t xml:space="preserve">Seaward Movement</w:t>
      </w:r>
    </w:p>
    <w:p>
      <w:pPr>
        <w:numPr>
          <w:ilvl w:val="0"/>
          <w:numId w:val="1001"/>
        </w:numPr>
      </w:pPr>
      <w:r>
        <w:rPr>
          <w:b/>
          <w:bCs/>
        </w:rPr>
        <w:t xml:space="preserve">Schooling</w:t>
      </w:r>
    </w:p>
    <w:p>
      <w:pPr>
        <w:numPr>
          <w:ilvl w:val="0"/>
          <w:numId w:val="1001"/>
        </w:numPr>
      </w:pPr>
      <w:r>
        <w:rPr>
          <w:b/>
          <w:bCs/>
        </w:rPr>
        <w:t xml:space="preserve">Selective Tidal Stream Transport</w:t>
      </w:r>
    </w:p>
    <w:p>
      <w:pPr>
        <w:numPr>
          <w:ilvl w:val="0"/>
          <w:numId w:val="1001"/>
        </w:numPr>
      </w:pPr>
      <w:r>
        <w:rPr>
          <w:b/>
          <w:bCs/>
        </w:rPr>
        <w:t xml:space="preserve">Predator-Prey Interactions</w:t>
      </w:r>
    </w:p>
    <w:p>
      <w:pPr>
        <w:pStyle w:val="FirstParagraph"/>
      </w:pPr>
      <w:r>
        <w:t xml:space="preserve">The final chapters provide guidance on how to integrate multiple functions into a complete agent-based model, demonstrating how these components work together to simulate fish behavior in dynamic coastal and estuarine systems.</w:t>
      </w:r>
    </w:p>
    <w:p>
      <w:pPr>
        <w:pStyle w:val="BodyText"/>
      </w:pPr>
      <w:r>
        <w:t xml:space="preserve">Within each chapter, each function or behavior is documented using the ODD protocol</w:t>
      </w:r>
      <w:r>
        <w:t xml:space="preserve"> </w:t>
      </w:r>
      <w:r>
        <w:t xml:space="preserve">(Grimm et al. 2006, 2010, 2020)</w:t>
      </w:r>
      <w:r>
        <w:t xml:space="preserve">. The ODD (Overview, Design concepts, Details) protocol is a standardized framework for describing agent-based models. It promotes transparency in model development and ensures consistency across implementations, especially when integrating multiple behavioral or ecological functions.</w:t>
      </w:r>
    </w:p>
    <w:p>
      <w:pPr>
        <w:numPr>
          <w:ilvl w:val="0"/>
          <w:numId w:val="1002"/>
        </w:numPr>
      </w:pPr>
      <w:r>
        <w:rPr>
          <w:b/>
          <w:bCs/>
        </w:rPr>
        <w:t xml:space="preserve">Overview</w:t>
      </w:r>
      <w:r>
        <w:t xml:space="preserve"> </w:t>
      </w:r>
      <w:r>
        <w:t xml:space="preserve">provides the purpose of the model component, identifies the entities involved (e.g., fish agents, environmental patches), and outlines the general processes.</w:t>
      </w:r>
    </w:p>
    <w:p>
      <w:pPr>
        <w:numPr>
          <w:ilvl w:val="0"/>
          <w:numId w:val="1002"/>
        </w:numPr>
      </w:pPr>
      <w:r>
        <w:rPr>
          <w:b/>
          <w:bCs/>
        </w:rPr>
        <w:t xml:space="preserve">Design</w:t>
      </w:r>
      <w:r>
        <w:t xml:space="preserve"> </w:t>
      </w:r>
      <w:r>
        <w:t xml:space="preserve">concepts describe the key theoretical underpinnings such as emergence, adaptation, objectives, sensing, stochasticity, and interaction.</w:t>
      </w:r>
    </w:p>
    <w:p>
      <w:pPr>
        <w:numPr>
          <w:ilvl w:val="0"/>
          <w:numId w:val="1002"/>
        </w:numPr>
      </w:pPr>
      <w:r>
        <w:rPr>
          <w:b/>
          <w:bCs/>
        </w:rPr>
        <w:t xml:space="preserve">Details</w:t>
      </w:r>
      <w:r>
        <w:t xml:space="preserve"> </w:t>
      </w:r>
      <w:r>
        <w:t xml:space="preserve">specify initialization steps, input data requirements, and the rules or submodels that govern behavior.</w:t>
      </w:r>
    </w:p>
    <w:p>
      <w:pPr>
        <w:pStyle w:val="FirstParagraph"/>
      </w:pPr>
      <w:r>
        <w:t xml:space="preserve">By following the ODD protocol, this library ensures that each function is self-contained, interpretable, and ready for adaptation to a wide range of species, sites, or management scenarios.</w:t>
      </w:r>
    </w:p>
    <w:bookmarkStart w:id="15" w:name="refs"/>
    <w:bookmarkStart w:id="10" w:name="ref-grimm_standard_2006"/>
    <w:p>
      <w:pPr>
        <w:pStyle w:val="Bibliography"/>
      </w:pPr>
      <w:r>
        <w:t xml:space="preserve">Grimm, Volker, Uta Berger, Finn Bastiansen, et al. 2006.</w:t>
      </w:r>
      <w:r>
        <w:t xml:space="preserve"> </w:t>
      </w:r>
      <w:r>
        <w:t xml:space="preserve">“A Standard Protocol for Describing Individual-Based and Agent-Based Models.”</w:t>
      </w:r>
      <w:r>
        <w:t xml:space="preserve"> </w:t>
      </w:r>
      <w:r>
        <w:rPr>
          <w:i/>
          <w:iCs/>
        </w:rPr>
        <w:t xml:space="preserve">Ecological Modelling</w:t>
      </w:r>
      <w:r>
        <w:t xml:space="preserve"> </w:t>
      </w:r>
      <w:r>
        <w:t xml:space="preserve">198 (1): 115–26.</w:t>
      </w:r>
      <w:r>
        <w:t xml:space="preserve"> </w:t>
      </w:r>
      <w:hyperlink r:id="rId9">
        <w:r>
          <w:rPr>
            <w:rStyle w:val="Hyperlink"/>
          </w:rPr>
          <w:t xml:space="preserve">https://doi.org/10.1016/j.ecolmodel.2006.04.023</w:t>
        </w:r>
      </w:hyperlink>
      <w:r>
        <w:t xml:space="preserve">.</w:t>
      </w:r>
    </w:p>
    <w:bookmarkEnd w:id="10"/>
    <w:bookmarkStart w:id="12" w:name="ref-grimm_odd_2010"/>
    <w:p>
      <w:pPr>
        <w:pStyle w:val="Bibliography"/>
      </w:pPr>
      <w:r>
        <w:t xml:space="preserve">Grimm, Volker, Uta Berger, Donald L. DeAngelis, J. Gary Polhill, Jarl Giske, and Steven F. Railsback. 2010.</w:t>
      </w:r>
      <w:r>
        <w:t xml:space="preserve"> </w:t>
      </w:r>
      <w:r>
        <w:t xml:space="preserve">“The</w:t>
      </w:r>
      <w:r>
        <w:t xml:space="preserve"> </w:t>
      </w:r>
      <w:r>
        <w:t xml:space="preserve">ODD</w:t>
      </w:r>
      <w:r>
        <w:t xml:space="preserve"> </w:t>
      </w:r>
      <w:r>
        <w:t xml:space="preserve">Protocol: A Review and First Update.”</w:t>
      </w:r>
      <w:r>
        <w:t xml:space="preserve"> </w:t>
      </w:r>
      <w:r>
        <w:rPr>
          <w:i/>
          <w:iCs/>
        </w:rPr>
        <w:t xml:space="preserve">Ecological Modelling</w:t>
      </w:r>
      <w:r>
        <w:t xml:space="preserve"> </w:t>
      </w:r>
      <w:r>
        <w:t xml:space="preserve">221 (23): 2760–68.</w:t>
      </w:r>
      <w:r>
        <w:t xml:space="preserve"> </w:t>
      </w:r>
      <w:hyperlink r:id="rId11">
        <w:r>
          <w:rPr>
            <w:rStyle w:val="Hyperlink"/>
          </w:rPr>
          <w:t xml:space="preserve">https://doi.org/10.1016/j.ecolmodel.2010.08.019</w:t>
        </w:r>
      </w:hyperlink>
      <w:r>
        <w:t xml:space="preserve">.</w:t>
      </w:r>
    </w:p>
    <w:bookmarkEnd w:id="12"/>
    <w:bookmarkStart w:id="14" w:name="ref-grimm_odd_2020"/>
    <w:p>
      <w:pPr>
        <w:pStyle w:val="Bibliography"/>
      </w:pPr>
      <w:r>
        <w:t xml:space="preserve">Grimm, Volker, Steven F. Railsback, Christian E. Vincenot, et al. 2020.</w:t>
      </w:r>
      <w:r>
        <w:t xml:space="preserve"> </w:t>
      </w:r>
      <w:r>
        <w:t xml:space="preserve">“The</w:t>
      </w:r>
      <w:r>
        <w:t xml:space="preserve"> </w:t>
      </w:r>
      <w:r>
        <w:t xml:space="preserve">ODD</w:t>
      </w:r>
      <w:r>
        <w:t xml:space="preserve"> </w:t>
      </w:r>
      <w:r>
        <w:t xml:space="preserve">Protocol for Describing Agent-Based and Other Simulation Models: A Second Update to Improve Clarity, Replication, and Structural Realism.”</w:t>
      </w:r>
      <w:r>
        <w:t xml:space="preserve"> </w:t>
      </w:r>
      <w:r>
        <w:rPr>
          <w:i/>
          <w:iCs/>
        </w:rPr>
        <w:t xml:space="preserve">Journal of Artificial Societies and Social Simulation</w:t>
      </w:r>
      <w:r>
        <w:t xml:space="preserve"> </w:t>
      </w:r>
      <w:r>
        <w:t xml:space="preserve">23 (2): 7.</w:t>
      </w:r>
      <w:r>
        <w:t xml:space="preserve"> </w:t>
      </w:r>
      <w:hyperlink r:id="rId13">
        <w:r>
          <w:rPr>
            <w:rStyle w:val="Hyperlink"/>
          </w:rPr>
          <w:t xml:space="preserve">https://doi.org/10.18564/jasss.4259</w:t>
        </w:r>
      </w:hyperlink>
      <w:r>
        <w:t xml:space="preserve">.</w:t>
      </w:r>
    </w:p>
    <w:bookmarkEnd w:id="14"/>
    <w:bookmarkEnd w:id="15"/>
    <w:bookmarkEnd w:id="16"/>
    <w:bookmarkEnd w:id="17"/>
    <w:sectPr w:rsidR="00E22D22">
      <w:pgSz w:h="15840" w:w="12240"/>
      <w:pgMar w:bottom="1440" w:footer="708" w:gutter="0" w:header="708"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abstractNum w15:restartNumberingAfterBreak="0" w:abstractNumId="0">
    <w:nsid w:val="3F002B30"/>
    <w:multiLevelType w:val="hybridMultilevel"/>
    <w:tmpl w:val="3B1AA620"/>
    <w:lvl w:ilvl="0" w:tplc="CD4211B2">
      <w:start w:val="1"/>
      <w:numFmt w:val="bullet"/>
      <w:lvlText w:val="•"/>
      <w:lvlJc w:val="left"/>
      <w:pPr>
        <w:ind w:hanging="360" w:left="720"/>
      </w:pPr>
      <w:rPr>
        <w:rFonts w:ascii="Calibri" w:cs="Calibri" w:eastAsia="Calibri" w:hAnsi="Calibri"/>
        <w:color w:val="0C7ABA"/>
      </w:rPr>
    </w:lvl>
    <w:lvl w:ilvl="1" w:tplc="20C8ED5C">
      <w:numFmt w:val="decimal"/>
      <w:lvlText w:val=""/>
      <w:lvlJc w:val="left"/>
    </w:lvl>
    <w:lvl w:ilvl="2" w:tplc="75164A96">
      <w:numFmt w:val="decimal"/>
      <w:lvlText w:val=""/>
      <w:lvlJc w:val="left"/>
    </w:lvl>
    <w:lvl w:ilvl="3" w:tplc="C5668DB8">
      <w:numFmt w:val="decimal"/>
      <w:lvlText w:val=""/>
      <w:lvlJc w:val="left"/>
    </w:lvl>
    <w:lvl w:ilvl="4" w:tplc="4FDC3A46">
      <w:numFmt w:val="decimal"/>
      <w:lvlText w:val=""/>
      <w:lvlJc w:val="left"/>
    </w:lvl>
    <w:lvl w:ilvl="5" w:tplc="E29638F6">
      <w:numFmt w:val="decimal"/>
      <w:lvlText w:val=""/>
      <w:lvlJc w:val="left"/>
    </w:lvl>
    <w:lvl w:ilvl="6" w:tplc="BA5C1422">
      <w:numFmt w:val="decimal"/>
      <w:lvlText w:val=""/>
      <w:lvlJc w:val="left"/>
    </w:lvl>
    <w:lvl w:ilvl="7" w:tplc="E4D69DDC">
      <w:numFmt w:val="decimal"/>
      <w:lvlText w:val=""/>
      <w:lvlJc w:val="left"/>
    </w:lvl>
    <w:lvl w:ilvl="8" w:tplc="9C168A2C">
      <w:numFmt w:val="decimal"/>
      <w:lvlText w:val=""/>
      <w:lvlJc w:val="left"/>
    </w:lvl>
  </w:abstractNum>
  <w:abstractNum w15:restartNumberingAfterBreak="0" w:abstractNumId="1">
    <w:nsid w:val="5FE22841"/>
    <w:multiLevelType w:val="hybridMultilevel"/>
    <w:tmpl w:val="0B8429B0"/>
    <w:lvl w:ilvl="0" w:tplc="B8F65D48">
      <w:start w:val="1"/>
      <w:numFmt w:val="bullet"/>
      <w:lvlText w:val="●"/>
      <w:lvlJc w:val="left"/>
      <w:pPr>
        <w:ind w:hanging="360" w:left="720"/>
      </w:pPr>
    </w:lvl>
    <w:lvl w:ilvl="1" w:tplc="07AEFD42">
      <w:start w:val="1"/>
      <w:numFmt w:val="bullet"/>
      <w:lvlText w:val="○"/>
      <w:lvlJc w:val="left"/>
      <w:pPr>
        <w:ind w:hanging="360" w:left="1440"/>
      </w:pPr>
    </w:lvl>
    <w:lvl w:ilvl="2" w:tplc="887ED00C">
      <w:start w:val="1"/>
      <w:numFmt w:val="bullet"/>
      <w:lvlText w:val="■"/>
      <w:lvlJc w:val="left"/>
      <w:pPr>
        <w:ind w:hanging="360" w:left="2160"/>
      </w:pPr>
    </w:lvl>
    <w:lvl w:ilvl="3" w:tplc="04941B82">
      <w:start w:val="1"/>
      <w:numFmt w:val="bullet"/>
      <w:lvlText w:val="●"/>
      <w:lvlJc w:val="left"/>
      <w:pPr>
        <w:ind w:hanging="360" w:left="2880"/>
      </w:pPr>
    </w:lvl>
    <w:lvl w:ilvl="4" w:tplc="D4E887E8">
      <w:start w:val="1"/>
      <w:numFmt w:val="bullet"/>
      <w:lvlText w:val="○"/>
      <w:lvlJc w:val="left"/>
      <w:pPr>
        <w:ind w:hanging="360" w:left="3600"/>
      </w:pPr>
    </w:lvl>
    <w:lvl w:ilvl="5" w:tplc="6D9EB200">
      <w:start w:val="1"/>
      <w:numFmt w:val="bullet"/>
      <w:lvlText w:val="■"/>
      <w:lvlJc w:val="left"/>
      <w:pPr>
        <w:ind w:hanging="360" w:left="4320"/>
      </w:pPr>
    </w:lvl>
    <w:lvl w:ilvl="6" w:tplc="4DCA9382">
      <w:start w:val="1"/>
      <w:numFmt w:val="bullet"/>
      <w:lvlText w:val="●"/>
      <w:lvlJc w:val="left"/>
      <w:pPr>
        <w:ind w:hanging="360" w:left="5040"/>
      </w:pPr>
    </w:lvl>
    <w:lvl w:ilvl="7" w:tplc="607E2C94">
      <w:start w:val="1"/>
      <w:numFmt w:val="bullet"/>
      <w:lvlText w:val="●"/>
      <w:lvlJc w:val="left"/>
      <w:pPr>
        <w:ind w:hanging="360" w:left="5760"/>
      </w:pPr>
    </w:lvl>
    <w:lvl w:ilvl="8" w:tplc="B8BCA7A8">
      <w:start w:val="1"/>
      <w:numFmt w:val="bullet"/>
      <w:lvlText w:val="●"/>
      <w:lvlJc w:val="left"/>
      <w:pPr>
        <w:ind w:hanging="360" w:left="6480"/>
      </w:p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
    <w:abstractNumId w:val="1"/>
    <w:lvlOverride w:ilvl="0">
      <w:startOverride w:val="1"/>
    </w:lvlOverride>
  </w: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displayBackgroundShape/>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2B39"/>
    <w:rsid w:val="00287085"/>
    <w:rsid w:val="00AA7070"/>
    <w:rsid w:val="00E22D22"/>
    <w:rsid w:val="00EF2B39"/>
    <w:rsid w:val="00F33BD0"/>
  </w:rsids>
  <w:themeFontLang w:val="en-US"/>
  <w:clrSchemeMapping w:accent1="accent1" w:accent2="accent2" w:accent3="accent3" w:accent4="accent4" w:accent5="accent5" w:accent6="accent6" w:bg1="light1" w:bg2="light2" w:followedHyperlink="followedHyperlink" w:hyperlink="hyperlink" w:t1="dark1" w:t2="dark2"/>
  <w:shapeDefaults>
    <o:shapedefaults spidmax="1026" v:ext="edit"/>
    <o:shapelayout v:ext="edit">
      <o:idmap data="1" v:ext="edit"/>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Calibri" w:cs="Calibri" w:eastAsia="Calibri" w:hAnsi="Calibri"/>
        <w:color w:val="1A1A1A"/>
        <w:sz w:val="22"/>
        <w:szCs w:val="22"/>
        <w:lang w:bidi="ar-SA" w:eastAsia="en-US" w:val="en-US"/>
      </w:rPr>
    </w:rPrDefault>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pPr>
      <w:spacing w:after="160" w:line="276" w:lineRule="auto"/>
    </w:pPr>
  </w:style>
  <w:style w:styleId="Heading1" w:type="paragraph">
    <w:name w:val="heading 1"/>
    <w:basedOn w:val="Normal"/>
    <w:next w:val="Normal"/>
    <w:uiPriority w:val="9"/>
    <w:qFormat/>
    <w:pPr>
      <w:pBdr>
        <w:bottom w:color="1E90FF" w:space="4" w:sz="6" w:val="single"/>
      </w:pBdr>
      <w:spacing w:after="240" w:before="480"/>
      <w:outlineLvl w:val="0"/>
    </w:pPr>
    <w:rPr>
      <w:b/>
      <w:bCs/>
      <w:color w:val="0A3D62"/>
      <w:sz w:val="44"/>
      <w:szCs w:val="44"/>
    </w:rPr>
  </w:style>
  <w:style w:styleId="Heading2" w:type="paragraph">
    <w:name w:val="heading 2"/>
    <w:basedOn w:val="Normal"/>
    <w:next w:val="Normal"/>
    <w:uiPriority w:val="9"/>
    <w:unhideWhenUsed/>
    <w:qFormat/>
    <w:pPr>
      <w:pBdr>
        <w:bottom w:color="E8F4FD" w:space="2" w:sz="3" w:val="single"/>
      </w:pBdr>
      <w:spacing w:before="320"/>
      <w:outlineLvl w:val="1"/>
    </w:pPr>
    <w:rPr>
      <w:b/>
      <w:bCs/>
      <w:color w:val="0A3D62"/>
      <w:sz w:val="32"/>
      <w:szCs w:val="32"/>
    </w:rPr>
  </w:style>
  <w:style w:styleId="Heading3" w:type="paragraph">
    <w:name w:val="heading 3"/>
    <w:basedOn w:val="Normal"/>
    <w:next w:val="Normal"/>
    <w:uiPriority w:val="9"/>
    <w:unhideWhenUsed/>
    <w:qFormat/>
    <w:pPr>
      <w:spacing w:after="120" w:before="240"/>
      <w:outlineLvl w:val="2"/>
    </w:pPr>
    <w:rPr>
      <w:b/>
      <w:bCs/>
      <w:color w:val="0C7ABA"/>
      <w:sz w:val="26"/>
      <w:szCs w:val="26"/>
    </w:rPr>
  </w:style>
  <w:style w:styleId="Heading4" w:type="paragraph">
    <w:name w:val="heading 4"/>
    <w:basedOn w:val="Normal"/>
    <w:next w:val="Normal"/>
    <w:uiPriority w:val="9"/>
    <w:unhideWhenUsed/>
    <w:qFormat/>
    <w:pPr>
      <w:spacing w:after="80" w:before="160"/>
      <w:outlineLvl w:val="3"/>
    </w:pPr>
    <w:rPr>
      <w:b/>
      <w:bCs/>
      <w:i/>
      <w:iCs/>
      <w:color w:val="0C7ABA"/>
      <w:sz w:val="24"/>
      <w:szCs w:val="24"/>
    </w:rPr>
  </w:style>
  <w:style w:styleId="Heading5" w:type="paragraph">
    <w:name w:val="heading 5"/>
    <w:basedOn w:val="Normal"/>
    <w:next w:val="Normal"/>
    <w:uiPriority w:val="9"/>
    <w:semiHidden/>
    <w:unhideWhenUsed/>
    <w:qFormat/>
    <w:pPr>
      <w:outlineLvl w:val="4"/>
    </w:pPr>
    <w:rPr>
      <w:color w:val="2E74B5"/>
    </w:rPr>
  </w:style>
  <w:style w:styleId="Heading6" w:type="paragraph">
    <w:name w:val="heading 6"/>
    <w:basedOn w:val="Normal"/>
    <w:next w:val="Normal"/>
    <w:uiPriority w:val="9"/>
    <w:semiHidden/>
    <w:unhideWhenUsed/>
    <w:qFormat/>
    <w:pPr>
      <w:outlineLvl w:val="5"/>
    </w:pPr>
    <w:rPr>
      <w:color w:val="1F4D78"/>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Title" w:type="paragraph">
    <w:name w:val="Title"/>
    <w:basedOn w:val="Normal"/>
    <w:next w:val="Normal"/>
    <w:uiPriority w:val="10"/>
    <w:qFormat/>
    <w:rPr>
      <w:sz w:val="56"/>
      <w:szCs w:val="56"/>
    </w:rPr>
  </w:style>
  <w:style w:customStyle="1" w:styleId="Strong1" w:type="paragraph">
    <w:name w:val="Strong1"/>
    <w:basedOn w:val="Normal"/>
    <w:next w:val="Normal"/>
    <w:qFormat/>
    <w:rPr>
      <w:b/>
      <w:bCs/>
    </w:rPr>
  </w:style>
  <w:style w:styleId="ListParagraph" w:type="paragraph">
    <w:name w:val="List Paragraph"/>
    <w:basedOn w:val="Normal"/>
    <w:qFormat/>
  </w:style>
  <w:style w:styleId="Hyperlink" w:type="character">
    <w:name w:val="Hyperlink"/>
    <w:uiPriority w:val="99"/>
    <w:unhideWhenUsed/>
    <w:rPr>
      <w:color w:val="0563C1"/>
      <w:u w:val="single"/>
    </w:rPr>
  </w:style>
  <w:style w:styleId="FootnoteReference" w:type="character">
    <w:name w:val="footnote reference"/>
    <w:uiPriority w:val="99"/>
    <w:semiHidden/>
    <w:unhideWhenUsed/>
    <w:rPr>
      <w:vertAlign w:val="superscript"/>
    </w:rPr>
  </w:style>
  <w:style w:styleId="FootnoteText" w:type="paragraph">
    <w:name w:val="footnote text"/>
    <w:basedOn w:val="Normal"/>
    <w:link w:val="FootnoteTextChar"/>
    <w:uiPriority w:val="99"/>
    <w:semiHidden/>
    <w:unhideWhenUsed/>
    <w:pPr>
      <w:spacing w:after="0" w:line="240" w:lineRule="auto"/>
    </w:pPr>
    <w:rPr>
      <w:sz w:val="20"/>
      <w:szCs w:val="20"/>
    </w:rPr>
  </w:style>
  <w:style w:customStyle="1" w:styleId="FootnoteTextChar" w:type="character">
    <w:name w:val="Footnote Text Char"/>
    <w:link w:val="FootnoteText"/>
    <w:uiPriority w:val="99"/>
    <w:semiHidden/>
    <w:unhideWhenUsed/>
    <w:rPr>
      <w:sz w:val="20"/>
      <w:szCs w:val="20"/>
    </w:rPr>
  </w:style>
  <w:style w:styleId="EndnoteReference" w:type="character">
    <w:name w:val="endnote reference"/>
    <w:uiPriority w:val="99"/>
    <w:semiHidden/>
    <w:unhideWhenUsed/>
    <w:rPr>
      <w:vertAlign w:val="superscript"/>
    </w:rPr>
  </w:style>
  <w:style w:styleId="EndnoteText" w:type="paragraph">
    <w:name w:val="endnote text"/>
    <w:basedOn w:val="Normal"/>
    <w:link w:val="EndnoteTextChar"/>
    <w:uiPriority w:val="99"/>
    <w:semiHidden/>
    <w:unhideWhenUsed/>
    <w:pPr>
      <w:spacing w:after="0" w:line="240" w:lineRule="auto"/>
    </w:pPr>
    <w:rPr>
      <w:sz w:val="20"/>
      <w:szCs w:val="20"/>
    </w:rPr>
  </w:style>
  <w:style w:customStyle="1" w:styleId="EndnoteTextChar" w:type="character">
    <w:name w:val="Endnote Text Char"/>
    <w:link w:val="EndnoteText"/>
    <w:uiPriority w:val="99"/>
    <w:semiHidden/>
    <w:unhideWhenUsed/>
    <w:rPr>
      <w:sz w:val="20"/>
      <w:szCs w:val="20"/>
    </w:rPr>
  </w:style>
  <w:style w:customStyle="1" w:styleId="verbatim" w:type="paragraph">
    <w:name w:val="verbatim"/>
    <w:basedOn w:val="Normal"/>
    <w:pPr>
      <w:pBdr>
        <w:left w:color="1E90FF" w:space="6" w:sz="12" w:val="single"/>
      </w:pBdr>
      <w:shd w:color="auto" w:fill="E8F4FD" w:val="clear"/>
      <w:spacing w:after="120" w:before="120"/>
      <w:ind w:left="360"/>
    </w:pPr>
    <w:rPr>
      <w:rFonts w:ascii="Courier New" w:cs="Courier New" w:eastAsia="Courier New" w:hAnsi="Courier New"/>
      <w:color w:val="0A3D62"/>
      <w:sz w:val="18"/>
      <w:szCs w:val="18"/>
    </w:rPr>
  </w:style>
  <w:style w:styleId="GridTable5Dark-Accent5" w:type="table">
    <w:name w:val="Grid Table 5 Dark Accent 5"/>
    <w:basedOn w:val="TableNormal"/>
    <w:uiPriority w:val="50"/>
    <w:rsid w:val="00AA7070"/>
    <w:tblPr>
      <w:tblStyleRowBandSize w:val="1"/>
      <w:tblStyleColBandSize w:val="1"/>
      <w:tblBorders>
        <w:top w:color="FFFFFF" w:space="0" w:sz="4" w:themeColor="background1" w:val="single"/>
        <w:left w:color="FFFFFF" w:space="0" w:sz="4" w:themeColor="background1" w:val="single"/>
        <w:bottom w:color="FFFFFF" w:space="0" w:sz="4" w:themeColor="background1" w:val="single"/>
        <w:right w:color="FFFFFF" w:space="0" w:sz="4" w:themeColor="background1" w:val="single"/>
        <w:insideH w:color="FFFFFF" w:space="0" w:sz="4" w:themeColor="background1" w:val="single"/>
        <w:insideV w:color="FFFFFF" w:space="0" w:sz="4" w:themeColor="background1" w:val="single"/>
      </w:tblBorders>
    </w:tblPr>
    <w:tcPr>
      <w:shd w:color="auto" w:fill="DEEAF6" w:themeFill="accent5" w:themeFillTint="33" w:val="clear"/>
    </w:tcPr>
    <w:tblStylePr w:type="firstRow">
      <w:rPr>
        <w:b/>
        <w:bCs/>
        <w:color w:themeColor="background1" w:val="FFFFFF"/>
      </w:rPr>
      <w:tblPr/>
      <w:tcPr>
        <w:tcBorders>
          <w:top w:color="FFFFFF" w:space="0" w:sz="4" w:themeColor="background1" w:val="single"/>
          <w:left w:color="FFFFFF" w:space="0" w:sz="4" w:themeColor="background1" w:val="single"/>
          <w:right w:color="FFFFFF" w:space="0" w:sz="4" w:themeColor="background1" w:val="single"/>
          <w:insideH w:val="nil"/>
          <w:insideV w:val="nil"/>
        </w:tcBorders>
        <w:shd w:color="auto" w:fill="5B9BD5" w:themeFill="accent5" w:val="clear"/>
      </w:tcPr>
    </w:tblStylePr>
    <w:tblStylePr w:type="lastRow">
      <w:rPr>
        <w:b/>
        <w:bCs/>
        <w:color w:themeColor="background1" w:val="FFFFFF"/>
      </w:rPr>
      <w:tblPr/>
      <w:tcPr>
        <w:tcBorders>
          <w:left w:color="FFFFFF" w:space="0" w:sz="4" w:themeColor="background1" w:val="single"/>
          <w:bottom w:color="FFFFFF" w:space="0" w:sz="4" w:themeColor="background1" w:val="single"/>
          <w:right w:color="FFFFFF" w:space="0" w:sz="4" w:themeColor="background1" w:val="single"/>
          <w:insideH w:val="nil"/>
          <w:insideV w:val="nil"/>
        </w:tcBorders>
        <w:shd w:color="auto" w:fill="5B9BD5" w:themeFill="accent5" w:val="clear"/>
      </w:tcPr>
    </w:tblStylePr>
    <w:tblStylePr w:type="firstCol">
      <w:rPr>
        <w:b/>
        <w:bCs/>
        <w:color w:themeColor="background1" w:val="FFFFFF"/>
      </w:rPr>
      <w:tblPr/>
      <w:tcPr>
        <w:tcBorders>
          <w:top w:color="FFFFFF" w:space="0" w:sz="4" w:themeColor="background1" w:val="single"/>
          <w:left w:color="FFFFFF" w:space="0" w:sz="4" w:themeColor="background1" w:val="single"/>
          <w:bottom w:color="FFFFFF" w:space="0" w:sz="4" w:themeColor="background1" w:val="single"/>
          <w:insideV w:val="nil"/>
        </w:tcBorders>
        <w:shd w:color="auto" w:fill="5B9BD5" w:themeFill="accent5" w:val="clear"/>
      </w:tcPr>
    </w:tblStylePr>
    <w:tblStylePr w:type="lastCol">
      <w:rPr>
        <w:b/>
        <w:bCs/>
        <w:color w:themeColor="background1" w:val="FFFFFF"/>
      </w:rPr>
      <w:tblPr/>
      <w:tcPr>
        <w:tcBorders>
          <w:top w:color="FFFFFF" w:space="0" w:sz="4" w:themeColor="background1" w:val="single"/>
          <w:bottom w:color="FFFFFF" w:space="0" w:sz="4" w:themeColor="background1" w:val="single"/>
          <w:right w:color="FFFFFF" w:space="0" w:sz="4" w:themeColor="background1" w:val="single"/>
          <w:insideV w:val="nil"/>
        </w:tcBorders>
        <w:shd w:color="auto" w:fill="5B9BD5" w:themeFill="accent5" w:val="clear"/>
      </w:tcPr>
    </w:tblStylePr>
    <w:tblStylePr w:type="band1Vert">
      <w:tblPr/>
      <w:tcPr>
        <w:shd w:color="auto" w:fill="BDD6EE" w:themeFill="accent5" w:themeFillTint="66" w:val="clear"/>
      </w:tcPr>
    </w:tblStylePr>
    <w:tblStylePr w:type="band1Horz">
      <w:tblPr/>
      <w:tcPr>
        <w:shd w:color="auto" w:fill="BDD6EE" w:themeFill="accent5" w:themeFillTint="66" w:val="clear"/>
      </w:tcPr>
    </w:tblStylePr>
  </w:style>
  <w:style w:styleId="GridTable4-Accent1" w:type="table">
    <w:name w:val="Grid Table 4 Accent 1"/>
    <w:basedOn w:val="TableNormal"/>
    <w:uiPriority w:val="49"/>
    <w:rsid w:val="00AA7070"/>
    <w:tblPr>
      <w:tblStyleRowBandSize w:val="1"/>
      <w:tblStyleColBandSize w:val="1"/>
      <w:tblBorders>
        <w:top w:color="8EAADB" w:space="0" w:sz="4" w:themeColor="accent1" w:themeTint="99" w:val="single"/>
        <w:left w:color="8EAADB" w:space="0" w:sz="4" w:themeColor="accent1" w:themeTint="99" w:val="single"/>
        <w:bottom w:color="8EAADB" w:space="0" w:sz="4" w:themeColor="accent1" w:themeTint="99" w:val="single"/>
        <w:right w:color="8EAADB" w:space="0" w:sz="4" w:themeColor="accent1" w:themeTint="99" w:val="single"/>
        <w:insideH w:color="8EAADB" w:space="0" w:sz="4" w:themeColor="accent1" w:themeTint="99" w:val="single"/>
        <w:insideV w:color="8EAADB" w:space="0" w:sz="4" w:themeColor="accent1" w:themeTint="99" w:val="single"/>
      </w:tblBorders>
    </w:tblPr>
    <w:tblStylePr w:type="firstRow">
      <w:rPr>
        <w:b/>
        <w:bCs/>
        <w:color w:themeColor="background1" w:val="FFFFFF"/>
      </w:rPr>
      <w:tblPr/>
      <w:tcPr>
        <w:tcBorders>
          <w:top w:color="4472C4" w:space="0" w:sz="4" w:themeColor="accent1" w:val="single"/>
          <w:left w:color="4472C4" w:space="0" w:sz="4" w:themeColor="accent1" w:val="single"/>
          <w:bottom w:color="4472C4" w:space="0" w:sz="4" w:themeColor="accent1" w:val="single"/>
          <w:right w:color="4472C4" w:space="0" w:sz="4" w:themeColor="accent1" w:val="single"/>
          <w:insideH w:val="nil"/>
          <w:insideV w:val="nil"/>
        </w:tcBorders>
        <w:shd w:color="auto" w:fill="4472C4" w:themeFill="accent1" w:val="clear"/>
      </w:tcPr>
    </w:tblStylePr>
    <w:tblStylePr w:type="lastRow">
      <w:rPr>
        <w:b/>
        <w:bCs/>
      </w:rPr>
      <w:tblPr/>
      <w:tcPr>
        <w:tcBorders>
          <w:top w:color="4472C4" w:space="0" w:sz="4" w:themeColor="accent1" w:val="double"/>
        </w:tcBorders>
      </w:tcPr>
    </w:tblStylePr>
    <w:tblStylePr w:type="firstCol">
      <w:rPr>
        <w:b/>
        <w:bCs/>
      </w:rPr>
    </w:tblStylePr>
    <w:tblStylePr w:type="lastCol">
      <w:rPr>
        <w:b/>
        <w:bCs/>
      </w:rPr>
    </w:tblStylePr>
    <w:tblStylePr w:type="band1Vert">
      <w:tblPr/>
      <w:tcPr>
        <w:shd w:color="auto" w:fill="D9E2F3" w:themeFill="accent1" w:themeFillTint="33" w:val="clear"/>
      </w:tcPr>
    </w:tblStylePr>
    <w:tblStylePr w:type="band1Horz">
      <w:tblPr/>
      <w:tcPr>
        <w:shd w:color="auto" w:fill="D9E2F3" w:themeFill="accent1" w:themeFillTint="33" w:val="clear"/>
      </w:tcPr>
    </w:tblStylePr>
  </w:style>
  <w:style w:styleId="ListTable6Colorful-Accent1" w:type="table">
    <w:name w:val="List Table 6 Colorful Accent 1"/>
    <w:basedOn w:val="TableNormal"/>
    <w:uiPriority w:val="51"/>
    <w:rsid w:val="00AA7070"/>
    <w:rPr>
      <w:color w:themeColor="accent1" w:themeShade="BF" w:val="2F5496"/>
    </w:rPr>
    <w:tblPr>
      <w:tblStyleRowBandSize w:val="1"/>
      <w:tblStyleColBandSize w:val="1"/>
      <w:tblBorders>
        <w:top w:color="4472C4" w:space="0" w:sz="4" w:themeColor="accent1" w:val="single"/>
        <w:bottom w:color="4472C4" w:space="0" w:sz="4" w:themeColor="accent1" w:val="single"/>
      </w:tblBorders>
    </w:tblPr>
    <w:tblStylePr w:type="firstRow">
      <w:rPr>
        <w:b/>
        <w:bCs/>
      </w:rPr>
      <w:tblPr/>
      <w:tcPr>
        <w:tcBorders>
          <w:bottom w:color="4472C4" w:space="0" w:sz="4" w:themeColor="accent1" w:val="single"/>
        </w:tcBorders>
      </w:tcPr>
    </w:tblStylePr>
    <w:tblStylePr w:type="lastRow">
      <w:rPr>
        <w:b/>
        <w:bCs/>
      </w:rPr>
      <w:tblPr/>
      <w:tcPr>
        <w:tcBorders>
          <w:top w:color="4472C4" w:space="0" w:sz="4" w:themeColor="accent1" w:val="double"/>
        </w:tcBorders>
      </w:tcPr>
    </w:tblStylePr>
    <w:tblStylePr w:type="firstCol">
      <w:rPr>
        <w:b/>
        <w:bCs/>
      </w:rPr>
    </w:tblStylePr>
    <w:tblStylePr w:type="lastCol">
      <w:rPr>
        <w:b/>
        <w:bCs/>
      </w:rPr>
    </w:tblStylePr>
    <w:tblStylePr w:type="band1Vert">
      <w:tblPr/>
      <w:tcPr>
        <w:shd w:color="auto" w:fill="D9E2F3" w:themeFill="accent1" w:themeFillTint="33" w:val="clear"/>
      </w:tcPr>
    </w:tblStylePr>
    <w:tblStylePr w:type="band1Horz">
      <w:tblPr/>
      <w:tcPr>
        <w:shd w:color="auto" w:fill="D9E2F3" w:themeFill="accent1" w:themeFillTint="33" w:val="clear"/>
      </w:tcPr>
    </w:tblStylePr>
  </w:style>
  <w:style w:styleId="TOCHeading" w:type="paragraph">
    <w:name w:val="TOC Heading"/>
    <w:basedOn w:val="Heading1"/>
    <w:next w:val="Normal"/>
    <w:uiPriority w:val="39"/>
    <w:unhideWhenUsed/>
    <w:qFormat/>
    <w:rsid w:val="00287085"/>
    <w:pPr>
      <w:keepNext/>
      <w:keepLines/>
      <w:pBdr>
        <w:bottom w:color="auto" w:space="0" w:sz="0" w:val="none"/>
      </w:pBdr>
      <w:spacing w:after="0" w:before="240" w:line="259" w:lineRule="auto"/>
      <w:outlineLvl w:val="9"/>
    </w:pPr>
    <w:rPr>
      <w:rFonts w:asciiTheme="majorHAnsi" w:cstheme="majorBidi" w:eastAsiaTheme="majorEastAsia" w:hAnsiTheme="majorHAnsi"/>
      <w:b w:val="0"/>
      <w:bCs w:val="0"/>
      <w:color w:themeColor="accent1" w:themeShade="BF" w:val="2F5496"/>
      <w:sz w:val="32"/>
      <w:szCs w:val="32"/>
    </w:rPr>
  </w:style>
  <w:style w:styleId="TOC1" w:type="paragraph">
    <w:name w:val="toc 1"/>
    <w:basedOn w:val="Normal"/>
    <w:next w:val="Normal"/>
    <w:autoRedefine/>
    <w:uiPriority w:val="39"/>
    <w:unhideWhenUsed/>
    <w:rsid w:val="00287085"/>
    <w:pPr>
      <w:spacing w:after="100"/>
    </w:pPr>
  </w:style>
  <w:style w:styleId="TOC2" w:type="paragraph">
    <w:name w:val="toc 2"/>
    <w:basedOn w:val="Normal"/>
    <w:next w:val="Normal"/>
    <w:autoRedefine/>
    <w:uiPriority w:val="39"/>
    <w:unhideWhenUsed/>
    <w:rsid w:val="00287085"/>
    <w:pPr>
      <w:spacing w:after="100"/>
      <w:ind w:left="220"/>
    </w:pPr>
  </w:style>
  <w:style w:styleId="TOC3" w:type="paragraph">
    <w:name w:val="toc 3"/>
    <w:basedOn w:val="Normal"/>
    <w:next w:val="Normal"/>
    <w:autoRedefine/>
    <w:uiPriority w:val="39"/>
    <w:unhideWhenUsed/>
    <w:rsid w:val="00287085"/>
    <w:pPr>
      <w:spacing w:after="100"/>
      <w:ind w:left="440"/>
    </w:p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b/>
      <w:color w:val="204a87"/>
      <w:shd w:val="clear" w:fill="f8f8f8"/>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8f5902"/>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b/>
      <w:color w:val="ce5c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i/>
      <w:color w:val="8f5902"/>
      <w:shd w:val="clear" w:fill="f8f8f8"/>
    </w:rPr>
  </w:style>
  <w:style w:type="character" w:customStyle="1" w:styleId="DocumentationTok">
    <w:name w:val="DocumentationTok"/>
    <w:basedOn w:val="VerbatimChar"/>
    <w:rPr>
      <w:b/>
      <w:i/>
      <w:color w:val="8f5902"/>
      <w:shd w:val="clear" w:fill="f8f8f8"/>
    </w:rPr>
  </w:style>
  <w:style w:type="character" w:customStyle="1" w:styleId="AnnotationTok">
    <w:name w:val="AnnotationTok"/>
    <w:basedOn w:val="VerbatimChar"/>
    <w:rPr>
      <w:b/>
      <w:i/>
      <w:color w:val="8f5902"/>
      <w:shd w:val="clear" w:fill="f8f8f8"/>
    </w:rPr>
  </w:style>
  <w:style w:type="character" w:customStyle="1" w:styleId="CommentVarTok">
    <w:name w:val="CommentVarTok"/>
    <w:basedOn w:val="VerbatimChar"/>
    <w:rPr>
      <w:b/>
      <w:i/>
      <w:color w:val="8f5902"/>
      <w:shd w:val="clear" w:fill="f8f8f8"/>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b/>
      <w:color w:val="204a87"/>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b/>
      <w:color w:val="204a87"/>
      <w:shd w:val="clear" w:fill="f8f8f8"/>
    </w:rPr>
  </w:style>
  <w:style w:type="character" w:customStyle="1" w:styleId="OperatorTok">
    <w:name w:val="OperatorTok"/>
    <w:basedOn w:val="VerbatimChar"/>
    <w:rPr>
      <w:b/>
      <w:color w:val="ce5c00"/>
      <w:shd w:val="clear" w:fill="f8f8f8"/>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i/>
      <w:color w:val="8f5902"/>
      <w:shd w:val="clear" w:fill="f8f8f8"/>
    </w:rPr>
  </w:style>
  <w:style w:type="character" w:customStyle="1" w:styleId="AttributeTok">
    <w:name w:val="AttributeTok"/>
    <w:basedOn w:val="VerbatimChar"/>
    <w:rPr>
      <w:color w:val="204a87"/>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b/>
      <w:i/>
      <w:color w:val="8f5902"/>
      <w:shd w:val="clear" w:fill="f8f8f8"/>
    </w:rPr>
  </w:style>
  <w:style w:type="character" w:customStyle="1" w:styleId="WarningTok">
    <w:name w:val="WarningTok"/>
    <w:basedOn w:val="VerbatimChar"/>
    <w:rPr>
      <w:b/>
      <w:i/>
      <w:color w:val="8f5902"/>
      <w:shd w:val="clear" w:fill="f8f8f8"/>
    </w:rPr>
  </w:style>
  <w:style w:type="character" w:customStyle="1" w:styleId="AlertTok">
    <w:name w:val="AlertTok"/>
    <w:basedOn w:val="VerbatimChar"/>
    <w:rPr>
      <w:color w:val="ef2929"/>
      <w:shd w:val="clear" w:fill="f8f8f8"/>
    </w:rPr>
  </w:style>
  <w:style w:type="character" w:customStyle="1" w:styleId="ErrorTok">
    <w:name w:val="ErrorTok"/>
    <w:basedOn w:val="VerbatimChar"/>
    <w:rPr>
      <w:b/>
      <w:color w:val="a40000"/>
      <w:shd w:val="clear" w:fill="f8f8f8"/>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https://doi.org/10.1016/j.ecolmodel.2006.04.023" TargetMode="External" /><Relationship Type="http://schemas.openxmlformats.org/officeDocument/2006/relationships/hyperlink" Id="rId11" Target="https://doi.org/10.1016/j.ecolmodel.2010.08.019" TargetMode="External" /><Relationship Type="http://schemas.openxmlformats.org/officeDocument/2006/relationships/hyperlink" Id="rId13" Target="https://doi.org/10.18564/jasss.4259" TargetMode="External" /></Relationships>
</file>

<file path=word/_rels/footnotes.xml.rels><?xml version="1.0" encoding="UTF-8"?><Relationships xmlns="http://schemas.openxmlformats.org/package/2006/relationships"><Relationship Type="http://schemas.openxmlformats.org/officeDocument/2006/relationships/hyperlink" Id="rId9" Target="https://doi.org/10.1016/j.ecolmodel.2006.04.023" TargetMode="External" /><Relationship Type="http://schemas.openxmlformats.org/officeDocument/2006/relationships/hyperlink" Id="rId11" Target="https://doi.org/10.1016/j.ecolmodel.2010.08.019" TargetMode="External" /><Relationship Type="http://schemas.openxmlformats.org/officeDocument/2006/relationships/hyperlink" Id="rId13" Target="https://doi.org/10.18564/jasss.4259"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144</Words>
  <Characters>825</Characters>
  <Application>Microsoft Office Word</Application>
  <DocSecurity>0</DocSecurity>
  <Lines>6</Lines>
  <Paragraphs>1</Paragraphs>
  <ScaleCrop>false</ScaleCrop>
  <Company>Army Golden Master Program</Company>
  <LinksUpToDate>false</LinksUpToDate>
  <CharactersWithSpaces>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2026-07-11T16:23:38Z</dcterms:created>
  <dcterms:modified xsi:type="dcterms:W3CDTF">2026-07-11T16:23:38Z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bliography">
    <vt:lpwstr/>
  </property>
</Properties>
</file>