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migration-cues"/>
    <w:p>
      <w:pPr>
        <w:pStyle w:val="Heading1"/>
      </w:pPr>
      <w:r>
        <w:t xml:space="preserve">Migration Cues</w:t>
      </w:r>
    </w:p>
    <w:bookmarkStart w:id="9" w:name="overview"/>
    <w:p>
      <w:pPr>
        <w:pStyle w:val="Heading2"/>
      </w:pPr>
      <w:r>
        <w:t xml:space="preserve">Overview</w:t>
      </w:r>
    </w:p>
    <w:p>
      <w:pPr>
        <w:pStyle w:val="FirstParagraph"/>
      </w:pPr>
      <w:r>
        <w:t xml:space="preserve">This submodel simulates how migratory fish detect environmental cues that signal the onset of migration, based on the interaction between photoperiod and temperature, which are widely recognized as primary drivers of migration timing in anadromous fishes. Photoperiod provides a seasonal signal regulating physiological readiness, while temperature modifies the timing of migration initiation and can act as a releasing factor (e.g.,</w:t>
      </w:r>
      <w:r>
        <w:t xml:space="preserve"> </w:t>
      </w:r>
      <w:r>
        <w:t xml:space="preserve">Zydlewski et al. (2014)</w:t>
      </w:r>
      <w:r>
        <w:t xml:space="preserve">;</w:t>
      </w:r>
      <w:r>
        <w:t xml:space="preserve"> </w:t>
      </w:r>
      <w:r>
        <w:t xml:space="preserve">García-Vega et al. (2022)</w:t>
      </w:r>
      <w:r>
        <w:t xml:space="preserve">). In this model, migration begins when individuals experience a coincident decline in both daylength and temperature (ΔL &lt; 0 and ΔT &lt; 0 on the same day), representing a simplified autumnal cue window. These events are classified as cue days, during which individuals stochastically accumulate the probability of initiating migration. For predators such as striped bass, migration probability is additionally linked to alewife presence, integrating species interactions into migration onset.</w:t>
      </w:r>
    </w:p>
    <w:p>
      <w:pPr>
        <w:pStyle w:val="BodyText"/>
      </w:pPr>
      <w:r>
        <w:t xml:space="preserve">Rather than assuming a fixed threshold, this formulation represents migration cues as periods of coincident decline in environmental conditions, capturing seasonal transitions that trigger movement. This cue formulation is applied specifically to upstream migration and is site-specific, requiring evaluation and potential recalibration for other systems. Downstream migration is not explicitly cued and instead emerges from the model following completion of migration objectives such as spawning or foraging.</w:t>
      </w:r>
    </w:p>
    <w:bookmarkEnd w:id="9"/>
    <w:bookmarkStart w:id="10" w:name="purpose"/>
    <w:p>
      <w:pPr>
        <w:pStyle w:val="Heading2"/>
      </w:pPr>
      <w:r>
        <w:t xml:space="preserve">Purpose</w:t>
      </w:r>
    </w:p>
    <w:p>
      <w:pPr>
        <w:pStyle w:val="FirstParagraph"/>
      </w:pPr>
      <w:r>
        <w:t xml:space="preserve">The purpose of this submodel is to mechanistically trigger migration using</w:t>
      </w:r>
      <w:r>
        <w:t xml:space="preserve"> </w:t>
      </w:r>
      <w:r>
        <w:rPr>
          <w:b/>
          <w:bCs/>
        </w:rPr>
        <w:t xml:space="preserve">real, observed environmental phenology</w:t>
      </w:r>
      <w:r>
        <w:t xml:space="preserve"> </w:t>
      </w:r>
      <w:r>
        <w:t xml:space="preserve">rather than arbitrary or date-based rules. This framework captures how:</w:t>
      </w:r>
    </w:p>
    <w:p>
      <w:pPr>
        <w:pStyle w:val="Compact"/>
        <w:numPr>
          <w:ilvl w:val="0"/>
          <w:numId w:val="1001"/>
        </w:numPr>
      </w:pPr>
      <w:r>
        <w:rPr>
          <w:b/>
          <w:bCs/>
        </w:rPr>
        <w:t xml:space="preserve">Changes in ΔTemperature and ΔDaylength structure seasonality</w:t>
      </w:r>
    </w:p>
    <w:p>
      <w:pPr>
        <w:pStyle w:val="Compact"/>
        <w:numPr>
          <w:ilvl w:val="0"/>
          <w:numId w:val="1001"/>
        </w:numPr>
      </w:pPr>
      <w:r>
        <w:rPr>
          <w:b/>
          <w:bCs/>
        </w:rPr>
        <w:t xml:space="preserve">Migration timing emerges pragmatically rather than being fixed</w:t>
      </w:r>
    </w:p>
    <w:p>
      <w:pPr>
        <w:pStyle w:val="Compact"/>
        <w:numPr>
          <w:ilvl w:val="0"/>
          <w:numId w:val="1001"/>
        </w:numPr>
      </w:pPr>
      <w:r>
        <w:rPr>
          <w:b/>
          <w:bCs/>
        </w:rPr>
        <w:t xml:space="preserve">Fish respond to external conditions and species interactions</w:t>
      </w:r>
    </w:p>
    <w:p>
      <w:pPr>
        <w:pStyle w:val="Compact"/>
        <w:numPr>
          <w:ilvl w:val="0"/>
          <w:numId w:val="1001"/>
        </w:numPr>
      </w:pPr>
      <w:r>
        <w:rPr>
          <w:b/>
          <w:bCs/>
        </w:rPr>
        <w:t xml:space="preserve">Environmental preprocessing in R feeds into NetLogo behavioral rules</w:t>
      </w:r>
    </w:p>
    <w:p>
      <w:pPr>
        <w:pStyle w:val="FirstParagraph"/>
      </w:pPr>
      <w:r>
        <w:t xml:space="preserve">This allows migration in the model to originate from measurable ecological drivers instead of hard-coded thresholds.</w:t>
      </w:r>
    </w:p>
    <w:bookmarkEnd w:id="10"/>
    <w:bookmarkStart w:id="15" w:name="entities-state-variables-and-scales"/>
    <w:p>
      <w:pPr>
        <w:pStyle w:val="Heading2"/>
      </w:pPr>
      <w:r>
        <w:t xml:space="preserve">Entities, State Variables, and Scales</w:t>
      </w:r>
    </w:p>
    <w:bookmarkStart w:id="11" w:name="spatial-and-temporal-scales"/>
    <w:p>
      <w:pPr>
        <w:pStyle w:val="Heading3"/>
      </w:pPr>
      <w:r>
        <w:t xml:space="preserve">Spatial and Temporal Scales</w:t>
      </w:r>
    </w:p>
    <w:p>
      <w:pPr>
        <w:pStyle w:val="Compact"/>
        <w:numPr>
          <w:ilvl w:val="0"/>
          <w:numId w:val="1002"/>
        </w:numPr>
      </w:pPr>
      <w:r>
        <w:rPr>
          <w:b/>
          <w:bCs/>
        </w:rPr>
        <w:t xml:space="preserve">Spatial Unit</w:t>
      </w:r>
      <w:r>
        <w:t xml:space="preserve">: Patch (3 m x 3 m resolution)</w:t>
      </w:r>
    </w:p>
    <w:p>
      <w:pPr>
        <w:pStyle w:val="Compact"/>
        <w:numPr>
          <w:ilvl w:val="0"/>
          <w:numId w:val="1002"/>
        </w:numPr>
      </w:pPr>
      <w:r>
        <w:rPr>
          <w:b/>
          <w:bCs/>
        </w:rPr>
        <w:t xml:space="preserve">Temporal Unit</w:t>
      </w:r>
      <w:r>
        <w:t xml:space="preserve">: 5-minute time steps (</w:t>
      </w:r>
      <w:r>
        <w:rPr>
          <w:rStyle w:val="VerbatimChar"/>
        </w:rPr>
        <w:t xml:space="preserve">tick</w:t>
      </w:r>
      <w:r>
        <w:t xml:space="preserve">)</w:t>
      </w:r>
    </w:p>
    <w:bookmarkEnd w:id="11"/>
    <w:bookmarkStart w:id="12" w:name="global-variables"/>
    <w:p>
      <w:pPr>
        <w:pStyle w:val="Heading3"/>
      </w:pPr>
      <w:r>
        <w:t xml:space="preserve">Global Variables</w:t>
      </w:r>
    </w:p>
    <w:tbl>
      <w:tblPr>
        <w:tblStyle w:val="Table"/>
        <w:tblW w:type="pct" w:w="5000"/>
        <w:tblLayout w:type="fixed"/>
        <w:tblLook w:firstRow="1" w:lastRow="0" w:firstColumn="0" w:lastColumn="0" w:noHBand="0" w:noVBand="0" w:val="0020"/>
      </w:tblPr>
      <w:tblGrid>
        <w:gridCol w:w="4620"/>
        <w:gridCol w:w="3300"/>
      </w:tblGrid>
      <w:tr>
        <w:trPr>
          <w:tblHeader w:val="on"/>
        </w:trPr>
        <w:tc>
          <w:tcPr/>
          <w:p>
            <w:pPr>
              <w:pStyle w:val="Compact"/>
            </w:pPr>
            <w:r>
              <w:t xml:space="preserve">Global Variable</w:t>
            </w:r>
          </w:p>
        </w:tc>
        <w:tc>
          <w:tcPr/>
          <w:p>
            <w:pPr>
              <w:pStyle w:val="Compact"/>
            </w:pPr>
            <w:r>
              <w:t xml:space="preserve">Definition</w:t>
            </w:r>
          </w:p>
        </w:tc>
      </w:tr>
      <w:tr>
        <w:tc>
          <w:tcPr/>
          <w:p>
            <w:pPr>
              <w:pStyle w:val="Compact"/>
            </w:pPr>
            <w:r>
              <w:rPr>
                <w:b/>
                <w:bCs/>
              </w:rPr>
              <w:t xml:space="preserve">cue-table</w:t>
            </w:r>
          </w:p>
        </w:tc>
        <w:tc>
          <w:tcPr/>
          <w:p>
            <w:pPr>
              <w:pStyle w:val="Compact"/>
            </w:pPr>
            <w:r>
              <w:t xml:space="preserve">Lookup table containing ΔTemperature, ΔDaylength, their smoothed values, and Boolean coincident-decline flags (from R preprocessing)</w:t>
            </w:r>
          </w:p>
        </w:tc>
      </w:tr>
      <w:tr>
        <w:tc>
          <w:tcPr/>
          <w:p>
            <w:pPr>
              <w:pStyle w:val="Compact"/>
            </w:pPr>
            <w:r>
              <w:rPr>
                <w:b/>
                <w:bCs/>
              </w:rPr>
              <w:t xml:space="preserve">cue-days</w:t>
            </w:r>
          </w:p>
        </w:tc>
        <w:tc>
          <w:tcPr/>
          <w:p>
            <w:pPr>
              <w:pStyle w:val="Compact"/>
            </w:pPr>
            <w:r>
              <w:t xml:space="preserve">List of day-of-year values where ΔT &lt; 0 and ΔL &lt; 0 simultaneously (identified in R)</w:t>
            </w:r>
          </w:p>
        </w:tc>
      </w:tr>
      <w:tr>
        <w:tc>
          <w:tcPr/>
          <w:p>
            <w:pPr>
              <w:pStyle w:val="Compact"/>
            </w:pPr>
            <w:r>
              <w:rPr>
                <w:b/>
                <w:bCs/>
              </w:rPr>
              <w:t xml:space="preserve">ΔT</w:t>
            </w:r>
          </w:p>
        </w:tc>
        <w:tc>
          <w:tcPr/>
          <w:p>
            <w:pPr>
              <w:pStyle w:val="Compact"/>
            </w:pPr>
            <w:r>
              <w:t xml:space="preserve">Daily rate of change in temperature imported from R (</w:t>
            </w:r>
            <w:r>
              <w:rPr>
                <w:rStyle w:val="VerbatimChar"/>
              </w:rPr>
              <w:t xml:space="preserve">dT_per_day_f</w:t>
            </w:r>
            <w:r>
              <w:t xml:space="preserve"> </w:t>
            </w:r>
            <w:r>
              <w:t xml:space="preserve">or smoothed</w:t>
            </w:r>
            <w:r>
              <w:t xml:space="preserve"> </w:t>
            </w:r>
            <w:r>
              <w:rPr>
                <w:rStyle w:val="VerbatimChar"/>
              </w:rPr>
              <w:t xml:space="preserve">dT_smooth</w:t>
            </w:r>
            <w:r>
              <w:t xml:space="preserve">)</w:t>
            </w:r>
          </w:p>
        </w:tc>
      </w:tr>
      <w:tr>
        <w:tc>
          <w:tcPr/>
          <w:p>
            <w:pPr>
              <w:pStyle w:val="Compact"/>
            </w:pPr>
            <w:r>
              <w:rPr>
                <w:b/>
                <w:bCs/>
              </w:rPr>
              <w:t xml:space="preserve">ΔL</w:t>
            </w:r>
          </w:p>
        </w:tc>
        <w:tc>
          <w:tcPr/>
          <w:p>
            <w:pPr>
              <w:pStyle w:val="Compact"/>
            </w:pPr>
            <w:r>
              <w:t xml:space="preserve">Daily rate of change in photoperiod imported from R (</w:t>
            </w:r>
            <w:r>
              <w:rPr>
                <w:rStyle w:val="VerbatimChar"/>
              </w:rPr>
              <w:t xml:space="preserve">dL_per_day_min</w:t>
            </w:r>
            <w:r>
              <w:t xml:space="preserve"> </w:t>
            </w:r>
            <w:r>
              <w:t xml:space="preserve">or smoothed</w:t>
            </w:r>
            <w:r>
              <w:t xml:space="preserve"> </w:t>
            </w:r>
            <w:r>
              <w:rPr>
                <w:rStyle w:val="VerbatimChar"/>
              </w:rPr>
              <w:t xml:space="preserve">dL_smooth</w:t>
            </w:r>
            <w:r>
              <w:t xml:space="preserve">)</w:t>
            </w:r>
          </w:p>
        </w:tc>
      </w:tr>
      <w:tr>
        <w:tc>
          <w:tcPr/>
          <w:p>
            <w:pPr>
              <w:pStyle w:val="Compact"/>
            </w:pPr>
            <w:r>
              <w:rPr>
                <w:b/>
                <w:bCs/>
              </w:rPr>
              <w:t xml:space="preserve">cue-active?</w:t>
            </w:r>
          </w:p>
        </w:tc>
        <w:tc>
          <w:tcPr/>
          <w:p>
            <w:pPr>
              <w:pStyle w:val="Compact"/>
            </w:pPr>
            <w:r>
              <w:t xml:space="preserve">Whether the current day-of-year corresponds to a coincident decline day</w:t>
            </w:r>
          </w:p>
        </w:tc>
      </w:tr>
      <w:tr>
        <w:tc>
          <w:tcPr/>
          <w:p>
            <w:pPr>
              <w:pStyle w:val="Compact"/>
            </w:pPr>
            <w:r>
              <w:rPr>
                <w:b/>
                <w:bCs/>
              </w:rPr>
              <w:t xml:space="preserve">migration-trigger?</w:t>
            </w:r>
          </w:p>
        </w:tc>
        <w:tc>
          <w:tcPr/>
          <w:p>
            <w:pPr>
              <w:pStyle w:val="Compact"/>
            </w:pPr>
            <w:r>
              <w:t xml:space="preserve">Whether environmental signals are strong enough to begin building migration probability</w:t>
            </w:r>
          </w:p>
        </w:tc>
      </w:tr>
    </w:tbl>
    <w:bookmarkEnd w:id="12"/>
    <w:bookmarkStart w:id="13" w:name="patch-variables"/>
    <w:p>
      <w:pPr>
        <w:pStyle w:val="Heading3"/>
      </w:pPr>
      <w:r>
        <w:t xml:space="preserve">Patch Variables</w:t>
      </w:r>
    </w:p>
    <w:p>
      <w:pPr>
        <w:pStyle w:val="FirstParagraph"/>
      </w:pPr>
      <w:r>
        <w:t xml:space="preserve">Migration cues do not depend on patch-level conditions. No patch-scale variables are required.</w:t>
      </w:r>
    </w:p>
    <w:bookmarkEnd w:id="13"/>
    <w:bookmarkStart w:id="14" w:name="agent-variables"/>
    <w:p>
      <w:pPr>
        <w:pStyle w:val="Heading3"/>
      </w:pPr>
      <w:r>
        <w:t xml:space="preserve">Agent Variables</w:t>
      </w:r>
    </w:p>
    <w:tbl>
      <w:tblPr>
        <w:tblStyle w:val="Table"/>
        <w:tblW w:type="pct" w:w="5000"/>
        <w:tblLayout w:type="fixed"/>
        <w:tblLook w:firstRow="1" w:lastRow="0" w:firstColumn="0" w:lastColumn="0" w:noHBand="0" w:noVBand="0" w:val="0020"/>
      </w:tblPr>
      <w:tblGrid>
        <w:gridCol w:w="3630"/>
        <w:gridCol w:w="4290"/>
      </w:tblGrid>
      <w:tr>
        <w:trPr>
          <w:tblHeader w:val="on"/>
        </w:trPr>
        <w:tc>
          <w:tcPr/>
          <w:p>
            <w:pPr>
              <w:pStyle w:val="Compact"/>
            </w:pPr>
            <w:r>
              <w:t xml:space="preserve">Variable</w:t>
            </w:r>
          </w:p>
        </w:tc>
        <w:tc>
          <w:tcPr/>
          <w:p>
            <w:pPr>
              <w:pStyle w:val="Compact"/>
            </w:pPr>
            <w:r>
              <w:t xml:space="preserve">Definition</w:t>
            </w:r>
          </w:p>
        </w:tc>
      </w:tr>
      <w:tr>
        <w:tc>
          <w:tcPr/>
          <w:p>
            <w:pPr>
              <w:pStyle w:val="Compact"/>
            </w:pPr>
            <w:r>
              <w:rPr>
                <w:b/>
                <w:bCs/>
              </w:rPr>
              <w:t xml:space="preserve">migration-trigger?</w:t>
            </w:r>
          </w:p>
        </w:tc>
        <w:tc>
          <w:tcPr/>
          <w:p>
            <w:pPr>
              <w:pStyle w:val="Compact"/>
            </w:pPr>
            <w:r>
              <w:t xml:space="preserve">Whether the agent has entered a window where migration probability begins to accumulate</w:t>
            </w:r>
          </w:p>
        </w:tc>
      </w:tr>
      <w:tr>
        <w:tc>
          <w:tcPr/>
          <w:p>
            <w:pPr>
              <w:pStyle w:val="Compact"/>
            </w:pPr>
            <w:r>
              <w:rPr>
                <w:b/>
                <w:bCs/>
              </w:rPr>
              <w:t xml:space="preserve">migration-probability</w:t>
            </w:r>
          </w:p>
        </w:tc>
        <w:tc>
          <w:tcPr/>
          <w:p>
            <w:pPr>
              <w:pStyle w:val="Compact"/>
            </w:pPr>
            <w:r>
              <w:t xml:space="preserve">The cumulative probability of initiating migration, updated each tick once the trigger is active</w:t>
            </w:r>
          </w:p>
        </w:tc>
      </w:tr>
      <w:tr>
        <w:tc>
          <w:tcPr/>
          <w:p>
            <w:pPr>
              <w:pStyle w:val="Compact"/>
            </w:pPr>
            <w:r>
              <w:rPr>
                <w:b/>
                <w:bCs/>
              </w:rPr>
              <w:t xml:space="preserve">start-migration?</w:t>
            </w:r>
          </w:p>
        </w:tc>
        <w:tc>
          <w:tcPr/>
          <w:p>
            <w:pPr>
              <w:pStyle w:val="Compact"/>
            </w:pPr>
            <w:r>
              <w:t xml:space="preserve">Whether the individual has begun active migration</w:t>
            </w:r>
          </w:p>
        </w:tc>
      </w:tr>
    </w:tbl>
    <w:bookmarkEnd w:id="14"/>
    <w:bookmarkEnd w:id="15"/>
    <w:bookmarkStart w:id="16" w:name="process-overview-and-scheduling"/>
    <w:p>
      <w:pPr>
        <w:pStyle w:val="Heading2"/>
      </w:pPr>
      <w:r>
        <w:t xml:space="preserve">Process Overview and Scheduling</w:t>
      </w:r>
    </w:p>
    <w:p>
      <w:pPr>
        <w:pStyle w:val="Compact"/>
        <w:numPr>
          <w:ilvl w:val="0"/>
          <w:numId w:val="1003"/>
        </w:numPr>
      </w:pPr>
      <w:r>
        <w:t xml:space="preserve">Environmental Inputs (from R)</w:t>
      </w:r>
    </w:p>
    <w:p>
      <w:pPr>
        <w:pStyle w:val="FirstParagraph"/>
      </w:pPr>
      <w:r>
        <w:t xml:space="preserve">External R preprocessing computes:</w:t>
      </w:r>
    </w:p>
    <w:p>
      <w:pPr>
        <w:pStyle w:val="Compact"/>
        <w:numPr>
          <w:ilvl w:val="0"/>
          <w:numId w:val="1004"/>
        </w:numPr>
      </w:pPr>
      <w:r>
        <w:t xml:space="preserve">ΔTemperature per day</w:t>
      </w:r>
      <w:r>
        <w:br/>
      </w:r>
    </w:p>
    <w:p>
      <w:pPr>
        <w:pStyle w:val="Compact"/>
        <w:numPr>
          <w:ilvl w:val="0"/>
          <w:numId w:val="1004"/>
        </w:numPr>
      </w:pPr>
      <w:r>
        <w:t xml:space="preserve">ΔDaylength per day</w:t>
      </w:r>
      <w:r>
        <w:br/>
      </w:r>
    </w:p>
    <w:p>
      <w:pPr>
        <w:pStyle w:val="Compact"/>
        <w:numPr>
          <w:ilvl w:val="0"/>
          <w:numId w:val="1004"/>
        </w:numPr>
      </w:pPr>
      <w:r>
        <w:t xml:space="preserve">Smoothed 3-day rolling means</w:t>
      </w:r>
      <w:r>
        <w:br/>
      </w:r>
    </w:p>
    <w:p>
      <w:pPr>
        <w:pStyle w:val="Compact"/>
        <w:numPr>
          <w:ilvl w:val="0"/>
          <w:numId w:val="1004"/>
        </w:numPr>
      </w:pPr>
      <w:r>
        <w:t xml:space="preserve">Boolean</w:t>
      </w:r>
      <w:r>
        <w:t xml:space="preserve"> </w:t>
      </w:r>
      <w:r>
        <w:rPr>
          <w:rStyle w:val="VerbatimChar"/>
        </w:rPr>
        <w:t xml:space="preserve">both_negative</w:t>
      </w:r>
      <w:r>
        <w:t xml:space="preserve"> </w:t>
      </w:r>
      <w:r>
        <w:t xml:space="preserve">indicating coincident decline</w:t>
      </w:r>
      <w:r>
        <w:br/>
      </w:r>
    </w:p>
    <w:p>
      <w:pPr>
        <w:pStyle w:val="Compact"/>
        <w:numPr>
          <w:ilvl w:val="0"/>
          <w:numId w:val="1004"/>
        </w:numPr>
      </w:pPr>
      <w:r>
        <w:t xml:space="preserve">Exports full dataset as</w:t>
      </w:r>
      <w:r>
        <w:t xml:space="preserve"> </w:t>
      </w:r>
      <w:r>
        <w:rPr>
          <w:rStyle w:val="VerbatimChar"/>
        </w:rPr>
        <w:t xml:space="preserve">"cue_dataset_full.csv"</w:t>
      </w:r>
    </w:p>
    <w:p>
      <w:pPr>
        <w:pStyle w:val="FirstParagraph"/>
      </w:pPr>
      <w:r>
        <w:t xml:space="preserve">This dataset defines the environmental basis for triggering migration.</w:t>
      </w:r>
    </w:p>
    <w:p>
      <w:pPr>
        <w:numPr>
          <w:ilvl w:val="0"/>
          <w:numId w:val="1005"/>
        </w:numPr>
      </w:pPr>
      <w:r>
        <w:t xml:space="preserve">When a cue day is detected, activate the migration cue, defined by</w:t>
      </w:r>
      <w:r>
        <w:t xml:space="preserve"> </w:t>
      </w:r>
      <w:r>
        <w:t xml:space="preserve">coincident declines in the rate of change of temperature and</w:t>
      </w:r>
      <w:r>
        <w:t xml:space="preserve"> </w:t>
      </w:r>
      <w:r>
        <w:t xml:space="preserve">photoperiod, and enable migration readiness.</w:t>
      </w:r>
    </w:p>
    <w:p>
      <w:pPr>
        <w:numPr>
          <w:ilvl w:val="0"/>
          <w:numId w:val="1005"/>
        </w:numPr>
      </w:pPr>
      <w:r>
        <w:t xml:space="preserve">For agents with an active migration trigger, individual migration</w:t>
      </w:r>
      <w:r>
        <w:t xml:space="preserve"> </w:t>
      </w:r>
      <w:r>
        <w:t xml:space="preserve">probability is incremented at each simulation time step (tick).</w:t>
      </w:r>
    </w:p>
    <w:p>
      <w:pPr>
        <w:numPr>
          <w:ilvl w:val="0"/>
          <w:numId w:val="1005"/>
        </w:numPr>
      </w:pPr>
      <w:r>
        <w:t xml:space="preserve">When an agent’s migration probability exceeds a stochastic</w:t>
      </w:r>
      <w:r>
        <w:t xml:space="preserve"> </w:t>
      </w:r>
      <w:r>
        <w:t xml:space="preserve">threshold, initiate migration.</w:t>
      </w:r>
    </w:p>
    <w:bookmarkEnd w:id="16"/>
    <w:bookmarkStart w:id="17" w:name="design-concepts"/>
    <w:p>
      <w:pPr>
        <w:pStyle w:val="Heading2"/>
      </w:pPr>
      <w:r>
        <w:t xml:space="preserve">Design Concepts</w:t>
      </w:r>
    </w:p>
    <w:p>
      <w:pPr>
        <w:pStyle w:val="FirstParagraph"/>
      </w:pPr>
      <w:r>
        <w:rPr>
          <w:b/>
          <w:bCs/>
        </w:rPr>
        <w:t xml:space="preserve">Basic Principles:</w:t>
      </w:r>
      <w:r>
        <w:t xml:space="preserve"> </w:t>
      </w:r>
      <w:r>
        <w:t xml:space="preserve">The mechanism reflects literature on the</w:t>
      </w:r>
      <w:r>
        <w:t xml:space="preserve"> </w:t>
      </w:r>
      <w:r>
        <w:t xml:space="preserve">interaction between photoperiod and temperature as drivers of migration</w:t>
      </w:r>
      <w:r>
        <w:t xml:space="preserve"> </w:t>
      </w:r>
      <w:r>
        <w:t xml:space="preserve">timing in anadromous fishes, where migration responses emerge from the</w:t>
      </w:r>
      <w:r>
        <w:t xml:space="preserve"> </w:t>
      </w:r>
      <w:r>
        <w:t xml:space="preserve">combined influence of seasonal and short-term environmental signals</w:t>
      </w:r>
      <w:r>
        <w:t xml:space="preserve"> </w:t>
      </w:r>
      <w:r>
        <w:t xml:space="preserve">(e.g.,</w:t>
      </w:r>
      <w:r>
        <w:t xml:space="preserve"> </w:t>
      </w:r>
      <w:r>
        <w:t xml:space="preserve">Zydlewski et al. (2014)</w:t>
      </w:r>
      <w:r>
        <w:t xml:space="preserve">;</w:t>
      </w:r>
      <w:r>
        <w:t xml:space="preserve"> </w:t>
      </w:r>
      <w:r>
        <w:t xml:space="preserve">García-Vega et al. (2022)</w:t>
      </w:r>
      <w:r>
        <w:t xml:space="preserve">;</w:t>
      </w:r>
      <w:r>
        <w:t xml:space="preserve"> </w:t>
      </w:r>
      <w:r>
        <w:t xml:space="preserve">Jonsson (1991)</w:t>
      </w:r>
      <w:r>
        <w:t xml:space="preserve">).</w:t>
      </w:r>
    </w:p>
    <w:p>
      <w:pPr>
        <w:pStyle w:val="BodyText"/>
      </w:pPr>
      <w:r>
        <w:rPr>
          <w:b/>
          <w:bCs/>
        </w:rPr>
        <w:t xml:space="preserve">Emergence:</w:t>
      </w:r>
      <w:r>
        <w:t xml:space="preserve"> </w:t>
      </w:r>
      <w:r>
        <w:t xml:space="preserve">Migration timing varies among individuals</w:t>
      </w:r>
      <w:r>
        <w:t xml:space="preserve"> </w:t>
      </w:r>
      <w:r>
        <w:t xml:space="preserve">(Dingle 2014)</w:t>
      </w:r>
      <w:r>
        <w:t xml:space="preserve"> </w:t>
      </w:r>
      <w:r>
        <w:t xml:space="preserve">and is represented in the model through</w:t>
      </w:r>
      <w:r>
        <w:t xml:space="preserve"> </w:t>
      </w:r>
      <w:r>
        <w:t xml:space="preserve">stochastic variation in the accumulation of migration probability,</w:t>
      </w:r>
      <w:r>
        <w:t xml:space="preserve"> </w:t>
      </w:r>
      <w:r>
        <w:t xml:space="preserve">resulting in asynchronous migration initiation across agents.</w:t>
      </w:r>
    </w:p>
    <w:p>
      <w:pPr>
        <w:pStyle w:val="BodyText"/>
      </w:pPr>
      <w:r>
        <w:rPr>
          <w:b/>
          <w:bCs/>
        </w:rPr>
        <w:t xml:space="preserve">Adaptation:</w:t>
      </w:r>
      <w:r>
        <w:t xml:space="preserve"> </w:t>
      </w:r>
      <w:r>
        <w:t xml:space="preserve">Agents transition from staging to active migration in</w:t>
      </w:r>
      <w:r>
        <w:t xml:space="preserve"> </w:t>
      </w:r>
      <w:r>
        <w:t xml:space="preserve">response to environmental cue activation and internal readiness state.</w:t>
      </w:r>
    </w:p>
    <w:p>
      <w:pPr>
        <w:pStyle w:val="BodyText"/>
      </w:pPr>
      <w:r>
        <w:rPr>
          <w:b/>
          <w:bCs/>
        </w:rPr>
        <w:t xml:space="preserve">Stochasticity:</w:t>
      </w:r>
      <w:r>
        <w:t xml:space="preserve"> </w:t>
      </w:r>
      <w:r>
        <w:t xml:space="preserve">Stochasticity enters through probabilistic</w:t>
      </w:r>
      <w:r>
        <w:t xml:space="preserve"> </w:t>
      </w:r>
      <w:r>
        <w:t xml:space="preserve">accumulation of migration readiness and random threshold exceedance for</w:t>
      </w:r>
      <w:r>
        <w:t xml:space="preserve"> </w:t>
      </w:r>
      <w:r>
        <w:t xml:space="preserve">migration initiation.</w:t>
      </w:r>
    </w:p>
    <w:p>
      <w:pPr>
        <w:pStyle w:val="BodyText"/>
      </w:pPr>
      <w:r>
        <w:rPr>
          <w:b/>
          <w:bCs/>
        </w:rPr>
        <w:t xml:space="preserve">Observation:</w:t>
      </w:r>
      <w:r>
        <w:t xml:space="preserve"> </w:t>
      </w:r>
      <w:r>
        <w:t xml:space="preserve">Key outputs include cue activation timing, individual</w:t>
      </w:r>
      <w:r>
        <w:t xml:space="preserve"> </w:t>
      </w:r>
      <w:r>
        <w:t xml:space="preserve">migration probability trajectories, and the proportion of agents</w:t>
      </w:r>
      <w:r>
        <w:t xml:space="preserve"> </w:t>
      </w:r>
      <w:r>
        <w:t xml:space="preserve">initiating migration through time.</w:t>
      </w:r>
    </w:p>
    <w:bookmarkEnd w:id="17"/>
    <w:bookmarkStart w:id="18" w:name="initialization"/>
    <w:p>
      <w:pPr>
        <w:pStyle w:val="Heading2"/>
      </w:pPr>
      <w:r>
        <w:t xml:space="preserve">Initialization</w:t>
      </w:r>
    </w:p>
    <w:tbl>
      <w:tblPr>
        <w:tblStyle w:val="Table"/>
        <w:tblW w:type="pct" w:w="5000"/>
        <w:tblLayout w:type="fixed"/>
        <w:tblLook w:firstRow="1" w:lastRow="0" w:firstColumn="0" w:lastColumn="0" w:noHBand="0" w:noVBand="0" w:val="0020"/>
      </w:tblPr>
      <w:tblGrid>
        <w:gridCol w:w="2090"/>
        <w:gridCol w:w="2970"/>
        <w:gridCol w:w="2860"/>
      </w:tblGrid>
      <w:tr>
        <w:trPr>
          <w:tblHeader w:val="on"/>
        </w:trPr>
        <w:tc>
          <w:tcPr/>
          <w:p>
            <w:pPr>
              <w:pStyle w:val="Compact"/>
            </w:pPr>
            <w:r>
              <w:t xml:space="preserve">Variable</w:t>
            </w:r>
          </w:p>
        </w:tc>
        <w:tc>
          <w:tcPr/>
          <w:p>
            <w:pPr>
              <w:pStyle w:val="Compact"/>
            </w:pPr>
            <w:r>
              <w:t xml:space="preserve">Initial Value</w:t>
            </w:r>
          </w:p>
        </w:tc>
        <w:tc>
          <w:tcPr/>
          <w:p>
            <w:pPr>
              <w:pStyle w:val="Compact"/>
            </w:pPr>
            <w:r>
              <w:t xml:space="preserve">Justification</w:t>
            </w:r>
          </w:p>
        </w:tc>
      </w:tr>
      <w:tr>
        <w:tc>
          <w:tcPr/>
          <w:p>
            <w:pPr>
              <w:pStyle w:val="Compact"/>
            </w:pPr>
            <w:r>
              <w:rPr>
                <w:b/>
                <w:bCs/>
              </w:rPr>
              <w:t xml:space="preserve">cue-days</w:t>
            </w:r>
          </w:p>
        </w:tc>
        <w:tc>
          <w:tcPr/>
          <w:p>
            <w:pPr>
              <w:pStyle w:val="Compact"/>
            </w:pPr>
            <w:r>
              <w:t xml:space="preserve">Extracted from CSV</w:t>
            </w:r>
          </w:p>
        </w:tc>
        <w:tc>
          <w:tcPr/>
          <w:p>
            <w:pPr>
              <w:pStyle w:val="Compact"/>
            </w:pPr>
            <w:r>
              <w:t xml:space="preserve">Based on empirical environmental data</w:t>
            </w:r>
          </w:p>
        </w:tc>
      </w:tr>
      <w:tr>
        <w:tc>
          <w:tcPr/>
          <w:p>
            <w:pPr>
              <w:pStyle w:val="Compact"/>
            </w:pPr>
            <w:r>
              <w:rPr>
                <w:b/>
                <w:bCs/>
              </w:rPr>
              <w:t xml:space="preserve">migration-probability</w:t>
            </w:r>
          </w:p>
        </w:tc>
        <w:tc>
          <w:tcPr/>
          <w:p>
            <w:pPr>
              <w:pStyle w:val="Compact"/>
            </w:pPr>
            <w:r>
              <w:t xml:space="preserve">0</w:t>
            </w:r>
          </w:p>
        </w:tc>
        <w:tc>
          <w:tcPr/>
          <w:p>
            <w:pPr>
              <w:pStyle w:val="Compact"/>
            </w:pPr>
            <w:r>
              <w:t xml:space="preserve">Ensures probability is accumulated only within cue window</w:t>
            </w:r>
          </w:p>
        </w:tc>
      </w:tr>
      <w:tr>
        <w:tc>
          <w:tcPr/>
          <w:p>
            <w:pPr>
              <w:pStyle w:val="Compact"/>
            </w:pPr>
            <w:r>
              <w:rPr>
                <w:b/>
                <w:bCs/>
              </w:rPr>
              <w:t xml:space="preserve">migration-trigger?</w:t>
            </w:r>
          </w:p>
        </w:tc>
        <w:tc>
          <w:tcPr/>
          <w:p>
            <w:pPr>
              <w:pStyle w:val="Compact"/>
            </w:pPr>
            <w:r>
              <w:t xml:space="preserve">false</w:t>
            </w:r>
          </w:p>
        </w:tc>
        <w:tc>
          <w:tcPr/>
          <w:p>
            <w:pPr>
              <w:pStyle w:val="Compact"/>
            </w:pPr>
            <w:r>
              <w:t xml:space="preserve">No cue until ΔT and ΔL decline</w:t>
            </w:r>
          </w:p>
        </w:tc>
      </w:tr>
      <w:tr>
        <w:tc>
          <w:tcPr/>
          <w:p>
            <w:pPr>
              <w:pStyle w:val="Compact"/>
            </w:pPr>
            <w:r>
              <w:rPr>
                <w:b/>
                <w:bCs/>
              </w:rPr>
              <w:t xml:space="preserve">cue-active?</w:t>
            </w:r>
          </w:p>
        </w:tc>
        <w:tc>
          <w:tcPr/>
          <w:p>
            <w:pPr>
              <w:pStyle w:val="Compact"/>
            </w:pPr>
            <w:r>
              <w:t xml:space="preserve">false</w:t>
            </w:r>
          </w:p>
        </w:tc>
        <w:tc>
          <w:tcPr/>
          <w:p>
            <w:pPr>
              <w:pStyle w:val="Compact"/>
            </w:pPr>
            <w:r>
              <w:t xml:space="preserve">Depends on DOY</w:t>
            </w:r>
          </w:p>
        </w:tc>
      </w:tr>
      <w:tr>
        <w:tc>
          <w:tcPr/>
          <w:p>
            <w:pPr>
              <w:pStyle w:val="Compact"/>
            </w:pPr>
            <w:r>
              <w:rPr>
                <w:b/>
                <w:bCs/>
              </w:rPr>
              <w:t xml:space="preserve">start-migration?</w:t>
            </w:r>
          </w:p>
        </w:tc>
        <w:tc>
          <w:tcPr/>
          <w:p>
            <w:pPr>
              <w:pStyle w:val="Compact"/>
            </w:pPr>
            <w:r>
              <w:t xml:space="preserve">false</w:t>
            </w:r>
          </w:p>
        </w:tc>
        <w:tc>
          <w:tcPr/>
          <w:p>
            <w:pPr>
              <w:pStyle w:val="Compact"/>
            </w:pPr>
            <w:r>
              <w:t xml:space="preserve">Fish begin in staging mode</w:t>
            </w:r>
          </w:p>
        </w:tc>
      </w:tr>
    </w:tbl>
    <w:bookmarkEnd w:id="18"/>
    <w:bookmarkStart w:id="23" w:name="submodels"/>
    <w:p>
      <w:pPr>
        <w:pStyle w:val="Heading2"/>
      </w:pPr>
      <w:r>
        <w:t xml:space="preserve">Submodels</w:t>
      </w:r>
    </w:p>
    <w:bookmarkStart w:id="19" w:name="identifying-cue-days-preprocessed-in-r"/>
    <w:p>
      <w:pPr>
        <w:pStyle w:val="Heading3"/>
      </w:pPr>
      <w:r>
        <w:t xml:space="preserve">Identifying Cue Days (Preprocessed in R)</w:t>
      </w:r>
    </w:p>
    <w:p>
      <w:pPr>
        <w:pStyle w:val="FirstParagraph"/>
      </w:pPr>
      <m:oMathPara>
        <m:oMathParaPr>
          <m:jc m:val="center"/>
        </m:oMathParaPr>
        <m:oMath>
          <m:r>
            <m:rPr>
              <m:sty m:val="p"/>
            </m:rPr>
            <m:t>Δ</m:t>
          </m:r>
          <m:r>
            <m:t>T</m:t>
          </m:r>
          <m:r>
            <m:rPr>
              <m:sty m:val="p"/>
            </m:rPr>
            <m:t>&lt;</m:t>
          </m:r>
          <m:r>
            <m:t>0</m:t>
          </m:r>
          <m:r>
            <m:rPr>
              <m:sty m:val="p"/>
            </m:rPr>
            <m:t>,</m:t>
          </m:r>
          <m:r>
            <m:t> </m:t>
          </m:r>
          <m:r>
            <m:t> </m:t>
          </m:r>
          <m:r>
            <m:rPr>
              <m:sty m:val="p"/>
            </m:rPr>
            <m:t>Δ</m:t>
          </m:r>
          <m:r>
            <m:t>L</m:t>
          </m:r>
          <m:r>
            <m:rPr>
              <m:sty m:val="p"/>
            </m:rPr>
            <m:t>&lt;</m:t>
          </m:r>
          <m:r>
            <m:t>0</m:t>
          </m:r>
          <m:r>
            <m:t>  </m:t>
          </m:r>
          <m:r>
            <m:rPr>
              <m:nor/>
              <m:sty m:val="p"/>
            </m:rPr>
            <m:t>(7.1)</m:t>
          </m:r>
        </m:oMath>
      </m:oMathPara>
    </w:p>
    <w:p>
      <w:pPr>
        <w:pStyle w:val="FirstParagraph"/>
      </w:pPr>
      <w:r>
        <w:t xml:space="preserve">Where:</w:t>
      </w:r>
    </w:p>
    <w:p>
      <w:pPr>
        <w:pStyle w:val="Compact"/>
        <w:numPr>
          <w:ilvl w:val="0"/>
          <w:numId w:val="1006"/>
        </w:numPr>
      </w:pPr>
      <m:oMath>
        <m:r>
          <m:rPr>
            <m:sty m:val="p"/>
          </m:rPr>
          <m:t>Δ</m:t>
        </m:r>
        <m:r>
          <m:t>T</m:t>
        </m:r>
      </m:oMath>
      <w:r>
        <w:t xml:space="preserve"> </w:t>
      </w:r>
      <w:r>
        <w:t xml:space="preserve">is the change in temperature used to flag cue days.</w:t>
      </w:r>
    </w:p>
    <w:p>
      <w:pPr>
        <w:pStyle w:val="Compact"/>
        <w:numPr>
          <w:ilvl w:val="0"/>
          <w:numId w:val="1006"/>
        </w:numPr>
      </w:pPr>
      <m:oMath>
        <m:r>
          <m:rPr>
            <m:sty m:val="p"/>
          </m:rPr>
          <m:t>Δ</m:t>
        </m:r>
        <m:r>
          <m:t>L</m:t>
        </m:r>
      </m:oMath>
      <w:r>
        <w:t xml:space="preserve"> </w:t>
      </w:r>
      <w:r>
        <w:t xml:space="preserve">is the change in photoperiod proxy used to flag cue days.</w:t>
      </w:r>
    </w:p>
    <w:p>
      <w:pPr>
        <w:pStyle w:val="FirstParagraph"/>
      </w:pPr>
      <w:r>
        <w:t xml:space="preserve">The preprocessing script:</w:t>
      </w:r>
    </w:p>
    <w:p>
      <w:pPr>
        <w:pStyle w:val="Compact"/>
        <w:numPr>
          <w:ilvl w:val="0"/>
          <w:numId w:val="1007"/>
        </w:numPr>
      </w:pPr>
      <w:r>
        <w:t xml:space="preserve">Computes ΔT and ΔL</w:t>
      </w:r>
    </w:p>
    <w:p>
      <w:pPr>
        <w:pStyle w:val="Compact"/>
        <w:numPr>
          <w:ilvl w:val="0"/>
          <w:numId w:val="1007"/>
        </w:numPr>
      </w:pPr>
      <w:r>
        <w:t xml:space="preserve">Applies smoothing</w:t>
      </w:r>
    </w:p>
    <w:p>
      <w:pPr>
        <w:pStyle w:val="Compact"/>
        <w:numPr>
          <w:ilvl w:val="0"/>
          <w:numId w:val="1007"/>
        </w:numPr>
      </w:pPr>
      <w:r>
        <w:t xml:space="preserve">Flags coincident declines</w:t>
      </w:r>
    </w:p>
    <w:bookmarkEnd w:id="19"/>
    <w:bookmarkStart w:id="20" w:name="activation-of-migration-cue"/>
    <w:p>
      <w:pPr>
        <w:pStyle w:val="Heading3"/>
      </w:pPr>
      <w:r>
        <w:t xml:space="preserve">Activation of Migration Cue</w:t>
      </w:r>
    </w:p>
    <w:p>
      <w:pPr>
        <w:pStyle w:val="FirstParagraph"/>
      </w:pPr>
      <w:r>
        <w:t xml:space="preserve">At each simulation day, the model checks whether the current day-of-year</w:t>
      </w:r>
      <w:r>
        <w:t xml:space="preserve"> </w:t>
      </w:r>
      <w:r>
        <w:t xml:space="preserve">corresponds to a predefined cue day. If true, the migration cue is</w:t>
      </w:r>
      <w:r>
        <w:t xml:space="preserve"> </w:t>
      </w:r>
      <w:r>
        <w:t xml:space="preserve">activated:</w:t>
      </w:r>
    </w:p>
    <w:p>
      <w:pPr>
        <w:pStyle w:val="BodyText"/>
      </w:pPr>
      <m:oMathPara>
        <m:oMathParaPr>
          <m:jc m:val="center"/>
        </m:oMathParaPr>
        <m:oMath>
          <m:r>
            <m:t>c</m:t>
          </m:r>
          <m:r>
            <m:t>u</m:t>
          </m:r>
          <m:r>
            <m:t>e</m:t>
          </m:r>
          <m:r>
            <m:rPr>
              <m:nor/>
              <m:sty m:val="p"/>
            </m:rPr>
            <m:t>-</m:t>
          </m:r>
          <m:r>
            <m:t>a</m:t>
          </m:r>
          <m:r>
            <m:t>c</m:t>
          </m:r>
          <m:r>
            <m:t>t</m:t>
          </m:r>
          <m:r>
            <m:t>i</m:t>
          </m:r>
          <m:r>
            <m:t>v</m:t>
          </m:r>
          <m:r>
            <m:t>e</m:t>
          </m:r>
          <m:r>
            <m:rPr>
              <m:sty m:val="p"/>
            </m:rPr>
            <m:t>?</m:t>
          </m:r>
          <m:r>
            <m:rPr>
              <m:sty m:val="p"/>
            </m:rPr>
            <m:t>=</m:t>
          </m:r>
          <m:r>
            <m:rPr>
              <m:nor/>
              <m:sty m:val="p"/>
            </m:rPr>
            <m:t>true</m:t>
          </m:r>
          <m:r>
            <m:t>  </m:t>
          </m:r>
          <m:r>
            <m:rPr>
              <m:nor/>
              <m:sty m:val="p"/>
            </m:rPr>
            <m:t>(7.2)</m:t>
          </m:r>
        </m:oMath>
      </m:oMathPara>
    </w:p>
    <w:p>
      <w:pPr>
        <w:pStyle w:val="FirstParagraph"/>
      </w:pPr>
      <w:r>
        <w:t xml:space="preserve">Where:</w:t>
      </w:r>
    </w:p>
    <w:p>
      <w:pPr>
        <w:pStyle w:val="Compact"/>
        <w:numPr>
          <w:ilvl w:val="0"/>
          <w:numId w:val="1008"/>
        </w:numPr>
      </w:pPr>
      <m:oMath>
        <m:r>
          <m:t>c</m:t>
        </m:r>
        <m:r>
          <m:t>u</m:t>
        </m:r>
        <m:r>
          <m:t>e</m:t>
        </m:r>
        <m:r>
          <m:rPr>
            <m:nor/>
            <m:sty m:val="p"/>
          </m:rPr>
          <m:t>-</m:t>
        </m:r>
        <m:r>
          <m:t>a</m:t>
        </m:r>
        <m:r>
          <m:t>c</m:t>
        </m:r>
        <m:r>
          <m:t>t</m:t>
        </m:r>
        <m:r>
          <m:t>i</m:t>
        </m:r>
        <m:r>
          <m:t>v</m:t>
        </m:r>
        <m:r>
          <m:t>e</m:t>
        </m:r>
        <m:r>
          <m:rPr>
            <m:sty m:val="p"/>
          </m:rPr>
          <m:t>?</m:t>
        </m:r>
      </m:oMath>
      <w:r>
        <w:t xml:space="preserve"> </w:t>
      </w:r>
      <w:r>
        <w:t xml:space="preserve">is the indicator that migration cue is active.</w:t>
      </w:r>
    </w:p>
    <w:p>
      <w:pPr>
        <w:pStyle w:val="FirstParagraph"/>
      </w:pPr>
      <w:r>
        <w:t xml:space="preserve">This represents the environmental system state in which the cue has</w:t>
      </w:r>
      <w:r>
        <w:t xml:space="preserve"> </w:t>
      </w:r>
      <w:r>
        <w:t xml:space="preserve">occurred, after which agents respond by transitioning to an internal</w:t>
      </w:r>
      <w:r>
        <w:t xml:space="preserve"> </w:t>
      </w:r>
      <w:r>
        <w:t xml:space="preserve">readiness state:</w:t>
      </w:r>
    </w:p>
    <w:p>
      <w:pPr>
        <w:pStyle w:val="BodyText"/>
      </w:pPr>
      <m:oMathPara>
        <m:oMathParaPr>
          <m:jc m:val="center"/>
        </m:oMathParaPr>
        <m:oMath>
          <m:r>
            <m:t>m</m:t>
          </m:r>
          <m:r>
            <m:t>i</m:t>
          </m:r>
          <m:r>
            <m:t>g</m:t>
          </m:r>
          <m:r>
            <m:t>r</m:t>
          </m:r>
          <m:r>
            <m:t>a</m:t>
          </m:r>
          <m:r>
            <m:t>t</m:t>
          </m:r>
          <m:r>
            <m:t>i</m:t>
          </m:r>
          <m:r>
            <m:t>o</m:t>
          </m:r>
          <m:r>
            <m:t>n</m:t>
          </m:r>
          <m:r>
            <m:rPr>
              <m:nor/>
              <m:sty m:val="p"/>
            </m:rPr>
            <m:t>-</m:t>
          </m:r>
          <m:r>
            <m:t>t</m:t>
          </m:r>
          <m:r>
            <m:t>r</m:t>
          </m:r>
          <m:r>
            <m:t>i</m:t>
          </m:r>
          <m:r>
            <m:t>g</m:t>
          </m:r>
          <m:r>
            <m:t>g</m:t>
          </m:r>
          <m:r>
            <m:t>e</m:t>
          </m:r>
          <m:r>
            <m:t>r</m:t>
          </m:r>
          <m:r>
            <m:rPr>
              <m:sty m:val="p"/>
            </m:rPr>
            <m:t>?</m:t>
          </m:r>
          <m:r>
            <m:rPr>
              <m:sty m:val="p"/>
            </m:rPr>
            <m:t>=</m:t>
          </m:r>
          <m:r>
            <m:rPr>
              <m:nor/>
              <m:sty m:val="p"/>
            </m:rPr>
            <m:t>true</m:t>
          </m:r>
          <m:r>
            <m:t>  </m:t>
          </m:r>
          <m:r>
            <m:rPr>
              <m:nor/>
              <m:sty m:val="p"/>
            </m:rPr>
            <m:t>(7.3)</m:t>
          </m:r>
        </m:oMath>
      </m:oMathPara>
    </w:p>
    <w:p>
      <w:pPr>
        <w:pStyle w:val="FirstParagraph"/>
      </w:pPr>
      <w:r>
        <w:t xml:space="preserve">Where:</w:t>
      </w:r>
    </w:p>
    <w:p>
      <w:pPr>
        <w:pStyle w:val="Compact"/>
        <w:numPr>
          <w:ilvl w:val="0"/>
          <w:numId w:val="1009"/>
        </w:numPr>
      </w:pPr>
      <m:oMath>
        <m:r>
          <m:t>m</m:t>
        </m:r>
        <m:r>
          <m:t>i</m:t>
        </m:r>
        <m:r>
          <m:t>g</m:t>
        </m:r>
        <m:r>
          <m:t>r</m:t>
        </m:r>
        <m:r>
          <m:t>a</m:t>
        </m:r>
        <m:r>
          <m:t>t</m:t>
        </m:r>
        <m:r>
          <m:t>i</m:t>
        </m:r>
        <m:r>
          <m:t>o</m:t>
        </m:r>
        <m:r>
          <m:t>n</m:t>
        </m:r>
        <m:r>
          <m:rPr>
            <m:nor/>
            <m:sty m:val="p"/>
          </m:rPr>
          <m:t>-</m:t>
        </m:r>
        <m:r>
          <m:t>t</m:t>
        </m:r>
        <m:r>
          <m:t>r</m:t>
        </m:r>
        <m:r>
          <m:t>i</m:t>
        </m:r>
        <m:r>
          <m:t>g</m:t>
        </m:r>
        <m:r>
          <m:t>g</m:t>
        </m:r>
        <m:r>
          <m:t>e</m:t>
        </m:r>
        <m:r>
          <m:t>r</m:t>
        </m:r>
        <m:r>
          <m:rPr>
            <m:sty m:val="p"/>
          </m:rPr>
          <m:t>?</m:t>
        </m:r>
      </m:oMath>
      <w:r>
        <w:t xml:space="preserve"> </w:t>
      </w:r>
      <w:r>
        <w:t xml:space="preserve">is the indicator of migration readiness.</w:t>
      </w:r>
    </w:p>
    <w:p>
      <w:pPr>
        <w:pStyle w:val="FirstParagraph"/>
      </w:pPr>
      <w:r>
        <w:t xml:space="preserve">This marks the onset of migration preparedness for all agents, where an</w:t>
      </w:r>
      <w:r>
        <w:t xml:space="preserve"> </w:t>
      </w:r>
      <w:r>
        <w:t xml:space="preserve">individual has sensed the cue and transitions to an internally primed</w:t>
      </w:r>
      <w:r>
        <w:t xml:space="preserve"> </w:t>
      </w:r>
      <w:r>
        <w:t xml:space="preserve">state. In migratory organisms, environmental signals are sensed first</w:t>
      </w:r>
      <w:r>
        <w:t xml:space="preserve"> </w:t>
      </w:r>
      <w:r>
        <w:t xml:space="preserve">and then establish readiness, after which movement is initiated only</w:t>
      </w:r>
      <w:r>
        <w:t xml:space="preserve"> </w:t>
      </w:r>
      <w:r>
        <w:t xml:space="preserve">when conditions are favorable rather than immediately upon cue detection</w:t>
      </w:r>
      <w:r>
        <w:t xml:space="preserve"> </w:t>
      </w:r>
      <w:r>
        <w:t xml:space="preserve">(Dingle 2014)</w:t>
      </w:r>
      <w:r>
        <w:t xml:space="preserve">.</w:t>
      </w:r>
    </w:p>
    <w:bookmarkEnd w:id="20"/>
    <w:bookmarkStart w:id="21" w:name="accumulation-of-migration-probability"/>
    <w:p>
      <w:pPr>
        <w:pStyle w:val="Heading3"/>
      </w:pPr>
      <w:r>
        <w:t xml:space="preserve">Accumulation of Migration Probability</w:t>
      </w:r>
    </w:p>
    <w:p>
      <w:pPr>
        <w:pStyle w:val="FirstParagraph"/>
      </w:pPr>
      <w:r>
        <w:t xml:space="preserve">For each agent with an active migration trigger, migration probability</w:t>
      </w:r>
      <w:r>
        <w:t xml:space="preserve"> </w:t>
      </w:r>
      <w:r>
        <w:t xml:space="preserve">increases stochastically each tick:</w:t>
      </w:r>
    </w:p>
    <w:p>
      <w:pPr>
        <w:pStyle w:val="BodyText"/>
      </w:pPr>
      <m:oMathPara>
        <m:oMathParaPr>
          <m:jc m:val="center"/>
        </m:oMathParaPr>
        <m:oMath>
          <m:sSub>
            <m:e>
              <m:r>
                <m:t>P</m:t>
              </m:r>
            </m:e>
            <m:sub>
              <m:r>
                <m:t>t</m:t>
              </m:r>
              <m:r>
                <m:rPr>
                  <m:sty m:val="p"/>
                </m:rPr>
                <m:t>+</m:t>
              </m:r>
              <m:r>
                <m:t>1</m:t>
              </m:r>
            </m:sub>
          </m:sSub>
          <m:r>
            <m:rPr>
              <m:sty m:val="p"/>
            </m:rPr>
            <m:t>=</m:t>
          </m:r>
          <m:sSub>
            <m:e>
              <m:r>
                <m:t>P</m:t>
              </m:r>
            </m:e>
            <m:sub>
              <m:r>
                <m:t>t</m:t>
              </m:r>
            </m:sub>
          </m:sSub>
          <m:r>
            <m:rPr>
              <m:sty m:val="p"/>
            </m:rPr>
            <m:t>+</m:t>
          </m:r>
          <m:d>
            <m:dPr>
              <m:begChr m:val="("/>
              <m:sepChr m:val=""/>
              <m:endChr m:val=")"/>
              <m:grow/>
            </m:dPr>
            <m:e>
              <m:r>
                <m:t>0.00001</m:t>
              </m:r>
              <m:r>
                <m:rPr>
                  <m:sty m:val="p"/>
                </m:rPr>
                <m:t>+</m:t>
              </m:r>
              <m:r>
                <m:t>U</m:t>
              </m:r>
              <m:r>
                <m:rPr>
                  <m:sty m:val="p"/>
                </m:rPr>
                <m:t>(</m:t>
              </m:r>
              <m:r>
                <m:t>0</m:t>
              </m:r>
              <m:r>
                <m:rPr>
                  <m:sty m:val="p"/>
                </m:rPr>
                <m:t>,</m:t>
              </m:r>
              <m:r>
                <m:t>0.00004</m:t>
              </m:r>
              <m:r>
                <m:rPr>
                  <m:sty m:val="p"/>
                </m:rPr>
                <m:t>)</m:t>
              </m:r>
            </m:e>
          </m:d>
          <m:r>
            <m:t>  </m:t>
          </m:r>
          <m:r>
            <m:rPr>
              <m:nor/>
              <m:sty m:val="p"/>
            </m:rPr>
            <m:t>(7.4)</m:t>
          </m:r>
        </m:oMath>
      </m:oMathPara>
    </w:p>
    <w:p>
      <w:pPr>
        <w:pStyle w:val="FirstParagraph"/>
      </w:pPr>
      <w:r>
        <w:t xml:space="preserve">Where:</w:t>
      </w:r>
    </w:p>
    <w:p>
      <w:pPr>
        <w:pStyle w:val="Compact"/>
        <w:numPr>
          <w:ilvl w:val="0"/>
          <w:numId w:val="1010"/>
        </w:numPr>
      </w:pPr>
      <m:oMath>
        <m:sSub>
          <m:e>
            <m:r>
              <m:t>P</m:t>
            </m:r>
          </m:e>
          <m:sub>
            <m:r>
              <m:t>t</m:t>
            </m:r>
          </m:sub>
        </m:sSub>
      </m:oMath>
      <w:r>
        <w:t xml:space="preserve"> </w:t>
      </w:r>
      <w:r>
        <w:t xml:space="preserve">is the individual migration probability at time</w:t>
      </w:r>
      <w:r>
        <w:t xml:space="preserve"> </w:t>
      </w:r>
      <m:oMath>
        <m:r>
          <m:t>t</m:t>
        </m:r>
      </m:oMath>
      <w:r>
        <w:t xml:space="preserve">.</w:t>
      </w:r>
    </w:p>
    <w:p>
      <w:pPr>
        <w:pStyle w:val="FirstParagraph"/>
      </w:pPr>
      <w:r>
        <w:t xml:space="preserve">Migration probability is capped at:</w:t>
      </w:r>
    </w:p>
    <w:p>
      <w:pPr>
        <w:pStyle w:val="BodyText"/>
      </w:pPr>
      <m:oMathPara>
        <m:oMathParaPr>
          <m:jc m:val="center"/>
        </m:oMathParaPr>
        <m:oMath>
          <m:sSub>
            <m:e>
              <m:r>
                <m:t>P</m:t>
              </m:r>
            </m:e>
            <m:sub>
              <m:r>
                <m:t>t</m:t>
              </m:r>
            </m:sub>
          </m:sSub>
          <m:r>
            <m:rPr>
              <m:sty m:val="p"/>
            </m:rPr>
            <m:t>≤</m:t>
          </m:r>
          <m:r>
            <m:t>1</m:t>
          </m:r>
          <m:r>
            <m:t>  </m:t>
          </m:r>
          <m:r>
            <m:rPr>
              <m:nor/>
              <m:sty m:val="p"/>
            </m:rPr>
            <m:t>(7.5)</m:t>
          </m:r>
        </m:oMath>
      </m:oMathPara>
    </w:p>
    <w:p>
      <w:pPr>
        <w:pStyle w:val="FirstParagraph"/>
      </w:pPr>
      <w:r>
        <w:t xml:space="preserve">Where:</w:t>
      </w:r>
    </w:p>
    <w:p>
      <w:pPr>
        <w:pStyle w:val="Compact"/>
        <w:numPr>
          <w:ilvl w:val="0"/>
          <w:numId w:val="1011"/>
        </w:numPr>
      </w:pPr>
      <m:oMath>
        <m:sSub>
          <m:e>
            <m:r>
              <m:t>P</m:t>
            </m:r>
          </m:e>
          <m:sub>
            <m:r>
              <m:t>t</m:t>
            </m:r>
          </m:sub>
        </m:sSub>
      </m:oMath>
      <w:r>
        <w:t xml:space="preserve"> </w:t>
      </w:r>
      <w:r>
        <w:t xml:space="preserve">is the individual migration probability at time</w:t>
      </w:r>
      <w:r>
        <w:t xml:space="preserve"> </w:t>
      </w:r>
      <m:oMath>
        <m:r>
          <m:t>t</m:t>
        </m:r>
      </m:oMath>
      <w:r>
        <w:t xml:space="preserve">.</w:t>
      </w:r>
    </w:p>
    <w:p>
      <w:pPr>
        <w:pStyle w:val="FirstParagraph"/>
      </w:pPr>
      <w:r>
        <w:t xml:space="preserve">This formulation produces gradual increase into migration and individual</w:t>
      </w:r>
      <w:r>
        <w:t xml:space="preserve"> </w:t>
      </w:r>
      <w:r>
        <w:t xml:space="preserve">variation in migration timing.</w:t>
      </w:r>
    </w:p>
    <w:bookmarkEnd w:id="21"/>
    <w:bookmarkStart w:id="22" w:name="initiate-migration"/>
    <w:p>
      <w:pPr>
        <w:pStyle w:val="Heading3"/>
      </w:pPr>
      <w:r>
        <w:t xml:space="preserve">Initiate Migration</w:t>
      </w:r>
    </w:p>
    <w:p>
      <w:pPr>
        <w:pStyle w:val="FirstParagraph"/>
      </w:pPr>
      <w:r>
        <w:t xml:space="preserve">An agent initiates migration when its migration probability exceeds a</w:t>
      </w:r>
      <w:r>
        <w:t xml:space="preserve"> </w:t>
      </w:r>
      <w:r>
        <w:t xml:space="preserve">stochastic threshold:</w:t>
      </w:r>
    </w:p>
    <w:p>
      <w:pPr>
        <w:pStyle w:val="BodyText"/>
      </w:pPr>
      <m:oMathPara>
        <m:oMathParaPr>
          <m:jc m:val="center"/>
        </m:oMathParaPr>
        <m:oMath>
          <m:r>
            <m:t>r</m:t>
          </m:r>
          <m:r>
            <m:t>a</m:t>
          </m:r>
          <m:r>
            <m:t>n</m:t>
          </m:r>
          <m:r>
            <m:t>d</m:t>
          </m:r>
          <m:r>
            <m:t>o</m:t>
          </m:r>
          <m:r>
            <m:t>m</m:t>
          </m:r>
          <m:r>
            <m:rPr>
              <m:nor/>
              <m:sty m:val="p"/>
            </m:rPr>
            <m:t>-</m:t>
          </m:r>
          <m:r>
            <m:t>f</m:t>
          </m:r>
          <m:r>
            <m:t>l</m:t>
          </m:r>
          <m:r>
            <m:t>o</m:t>
          </m:r>
          <m:r>
            <m:t>a</m:t>
          </m:r>
          <m:r>
            <m:t>t</m:t>
          </m:r>
          <m:r>
            <m:rPr>
              <m:sty m:val="p"/>
            </m:rPr>
            <m:t>(</m:t>
          </m:r>
          <m:r>
            <m:t>1</m:t>
          </m:r>
          <m:r>
            <m:rPr>
              <m:sty m:val="p"/>
            </m:rPr>
            <m:t>)</m:t>
          </m:r>
          <m:r>
            <m:rPr>
              <m:sty m:val="p"/>
            </m:rPr>
            <m:t>&lt;</m:t>
          </m:r>
          <m:sSub>
            <m:e>
              <m:r>
                <m:t>P</m:t>
              </m:r>
            </m:e>
            <m:sub>
              <m:r>
                <m:t>t</m:t>
              </m:r>
            </m:sub>
          </m:sSub>
          <m:r>
            <m:t>  </m:t>
          </m:r>
          <m:r>
            <m:rPr>
              <m:nor/>
              <m:sty m:val="p"/>
            </m:rPr>
            <m:t>(7.6)</m:t>
          </m:r>
        </m:oMath>
      </m:oMathPara>
    </w:p>
    <w:p>
      <w:pPr>
        <w:pStyle w:val="FirstParagraph"/>
      </w:pPr>
      <w:r>
        <w:t xml:space="preserve">Where:</w:t>
      </w:r>
    </w:p>
    <w:p>
      <w:pPr>
        <w:pStyle w:val="Compact"/>
        <w:numPr>
          <w:ilvl w:val="0"/>
          <w:numId w:val="1012"/>
        </w:numPr>
      </w:pPr>
      <m:oMath>
        <m:sSub>
          <m:e>
            <m:r>
              <m:t>P</m:t>
            </m:r>
          </m:e>
          <m:sub>
            <m:r>
              <m:t>t</m:t>
            </m:r>
          </m:sub>
        </m:sSub>
      </m:oMath>
      <w:r>
        <w:t xml:space="preserve"> </w:t>
      </w:r>
      <w:r>
        <w:t xml:space="preserve">is the individual migration probability at time</w:t>
      </w:r>
      <w:r>
        <w:t xml:space="preserve"> </w:t>
      </w:r>
      <m:oMath>
        <m:r>
          <m:t>t</m:t>
        </m:r>
      </m:oMath>
      <w:r>
        <w:t xml:space="preserve">.</w:t>
      </w:r>
    </w:p>
    <w:p>
      <w:pPr>
        <w:pStyle w:val="FirstParagraph"/>
      </w:pPr>
      <w:r>
        <w:t xml:space="preserve">When this condition is met:</w:t>
      </w:r>
    </w:p>
    <w:p>
      <w:pPr>
        <w:pStyle w:val="BodyText"/>
      </w:pPr>
      <m:oMathPara>
        <m:oMathParaPr>
          <m:jc m:val="center"/>
        </m:oMathParaPr>
        <m:oMath>
          <m:r>
            <m:t>s</m:t>
          </m:r>
          <m:r>
            <m:t>t</m:t>
          </m:r>
          <m:r>
            <m:t>a</m:t>
          </m:r>
          <m:r>
            <m:t>r</m:t>
          </m:r>
          <m:r>
            <m:t>t</m:t>
          </m:r>
          <m:r>
            <m:rPr>
              <m:nor/>
              <m:sty m:val="p"/>
            </m:rPr>
            <m:t>-</m:t>
          </m:r>
          <m:r>
            <m:t>m</m:t>
          </m:r>
          <m:r>
            <m:t>i</m:t>
          </m:r>
          <m:r>
            <m:t>g</m:t>
          </m:r>
          <m:r>
            <m:t>r</m:t>
          </m:r>
          <m:r>
            <m:t>a</m:t>
          </m:r>
          <m:r>
            <m:t>t</m:t>
          </m:r>
          <m:r>
            <m:t>i</m:t>
          </m:r>
          <m:r>
            <m:t>o</m:t>
          </m:r>
          <m:r>
            <m:t>n</m:t>
          </m:r>
          <m:r>
            <m:rPr>
              <m:sty m:val="p"/>
            </m:rPr>
            <m:t>?</m:t>
          </m:r>
          <m:r>
            <m:rPr>
              <m:sty m:val="p"/>
            </m:rPr>
            <m:t>=</m:t>
          </m:r>
          <m:r>
            <m:rPr>
              <m:nor/>
              <m:sty m:val="p"/>
            </m:rPr>
            <m:t>true</m:t>
          </m:r>
          <m:r>
            <m:t>  </m:t>
          </m:r>
          <m:r>
            <m:rPr>
              <m:nor/>
              <m:sty m:val="p"/>
            </m:rPr>
            <m:t>(7.7)</m:t>
          </m:r>
        </m:oMath>
      </m:oMathPara>
    </w:p>
    <w:p>
      <w:pPr>
        <w:pStyle w:val="FirstParagraph"/>
      </w:pPr>
      <w:r>
        <w:t xml:space="preserve">Where:</w:t>
      </w:r>
    </w:p>
    <w:p>
      <w:pPr>
        <w:pStyle w:val="Compact"/>
        <w:numPr>
          <w:ilvl w:val="0"/>
          <w:numId w:val="1013"/>
        </w:numPr>
      </w:pPr>
      <m:oMath>
        <m:r>
          <m:t>s</m:t>
        </m:r>
        <m:r>
          <m:t>t</m:t>
        </m:r>
        <m:r>
          <m:t>a</m:t>
        </m:r>
        <m:r>
          <m:t>r</m:t>
        </m:r>
        <m:r>
          <m:t>t</m:t>
        </m:r>
        <m:r>
          <m:rPr>
            <m:nor/>
            <m:sty m:val="p"/>
          </m:rPr>
          <m:t>-</m:t>
        </m:r>
        <m:r>
          <m:t>m</m:t>
        </m:r>
        <m:r>
          <m:t>i</m:t>
        </m:r>
        <m:r>
          <m:t>g</m:t>
        </m:r>
        <m:r>
          <m:t>r</m:t>
        </m:r>
        <m:r>
          <m:t>a</m:t>
        </m:r>
        <m:r>
          <m:t>t</m:t>
        </m:r>
        <m:r>
          <m:t>i</m:t>
        </m:r>
        <m:r>
          <m:t>o</m:t>
        </m:r>
        <m:r>
          <m:t>n</m:t>
        </m:r>
        <m:r>
          <m:rPr>
            <m:sty m:val="p"/>
          </m:rPr>
          <m:t>?</m:t>
        </m:r>
      </m:oMath>
      <w:r>
        <w:t xml:space="preserve"> </w:t>
      </w:r>
      <w:r>
        <w:t xml:space="preserve">is the indicator that migration has begun.</w:t>
      </w:r>
    </w:p>
    <w:p>
      <w:pPr>
        <w:pStyle w:val="FirstParagraph"/>
      </w:pPr>
      <w:r>
        <w:t xml:space="preserve">The agent transitions from staging behavior to directed migratory</w:t>
      </w:r>
      <w:r>
        <w:t xml:space="preserve"> </w:t>
      </w:r>
      <w:r>
        <w:t xml:space="preserve">movement.</w:t>
      </w:r>
    </w:p>
    <w:bookmarkEnd w:id="22"/>
    <w:bookmarkEnd w:id="23"/>
    <w:bookmarkStart w:id="31" w:name="netlogo-implementation"/>
    <w:p>
      <w:pPr>
        <w:pStyle w:val="Heading2"/>
      </w:pPr>
      <w:r>
        <w:t xml:space="preserve">Netlogo Implementation</w:t>
      </w:r>
    </w:p>
    <w:p>
      <w:pPr>
        <w:pStyle w:val="SourceCode"/>
      </w:pPr>
      <w:r>
        <w:rPr>
          <w:rStyle w:val="VerbatimChar"/>
        </w:rPr>
        <w:t xml:space="preserve">;; -------------------------------------------------------------------</w:t>
      </w:r>
      <w:r>
        <w:br/>
      </w:r>
      <w:r>
        <w:rPr>
          <w:rStyle w:val="VerbatimChar"/>
        </w:rPr>
        <w:t xml:space="preserve">;;  GLOBALS</w:t>
      </w:r>
      <w:r>
        <w:br/>
      </w:r>
      <w:r>
        <w:rPr>
          <w:rStyle w:val="VerbatimChar"/>
        </w:rPr>
        <w:t xml:space="preserve">;; -------------------------------------------------------------------</w:t>
      </w:r>
      <w:r>
        <w:br/>
      </w:r>
      <w:r>
        <w:rPr>
          <w:rStyle w:val="VerbatimChar"/>
        </w:rPr>
        <w:t xml:space="preserve">globals [</w:t>
      </w:r>
      <w:r>
        <w:br/>
      </w:r>
      <w:r>
        <w:rPr>
          <w:rStyle w:val="VerbatimChar"/>
        </w:rPr>
        <w:t xml:space="preserve">  cue-table</w:t>
      </w:r>
      <w:r>
        <w:br/>
      </w:r>
      <w:r>
        <w:rPr>
          <w:rStyle w:val="VerbatimChar"/>
        </w:rPr>
        <w:t xml:space="preserve">  cue-days</w:t>
      </w:r>
      <w:r>
        <w:br/>
      </w:r>
      <w:r>
        <w:br/>
      </w:r>
      <w:r>
        <w:rPr>
          <w:rStyle w:val="VerbatimChar"/>
        </w:rPr>
        <w:t xml:space="preserve">  migration-trigger?</w:t>
      </w:r>
      <w:r>
        <w:br/>
      </w:r>
      <w:r>
        <w:rPr>
          <w:rStyle w:val="VerbatimChar"/>
        </w:rPr>
        <w:t xml:space="preserve">  cue-active?</w:t>
      </w:r>
      <w:r>
        <w:br/>
      </w:r>
      <w:r>
        <w:rPr>
          <w:rStyle w:val="VerbatimChar"/>
        </w:rPr>
        <w:t xml:space="preserve">]</w:t>
      </w:r>
      <w:r>
        <w:br/>
      </w:r>
      <w:r>
        <w:br/>
      </w:r>
      <w:r>
        <w:rPr>
          <w:rStyle w:val="VerbatimChar"/>
        </w:rPr>
        <w:t xml:space="preserve">;; -------------------------------------------------------------------</w:t>
      </w:r>
      <w:r>
        <w:br/>
      </w:r>
      <w:r>
        <w:rPr>
          <w:rStyle w:val="VerbatimChar"/>
        </w:rPr>
        <w:t xml:space="preserve">;;  TURTLE VARIABLES</w:t>
      </w:r>
      <w:r>
        <w:br/>
      </w:r>
      <w:r>
        <w:rPr>
          <w:rStyle w:val="VerbatimChar"/>
        </w:rPr>
        <w:t xml:space="preserve">;; -------------------------------------------------------------------</w:t>
      </w:r>
      <w:r>
        <w:br/>
      </w:r>
      <w:r>
        <w:rPr>
          <w:rStyle w:val="VerbatimChar"/>
        </w:rPr>
        <w:t xml:space="preserve">turtles-own [</w:t>
      </w:r>
      <w:r>
        <w:br/>
      </w:r>
      <w:r>
        <w:rPr>
          <w:rStyle w:val="VerbatimChar"/>
        </w:rPr>
        <w:t xml:space="preserve">  migration-probability</w:t>
      </w:r>
      <w:r>
        <w:br/>
      </w:r>
      <w:r>
        <w:rPr>
          <w:rStyle w:val="VerbatimChar"/>
        </w:rPr>
        <w:t xml:space="preserve">  start-migration?</w:t>
      </w:r>
      <w:r>
        <w:br/>
      </w:r>
      <w:r>
        <w:rPr>
          <w:rStyle w:val="VerbatimChar"/>
        </w:rPr>
        <w:t xml:space="preserve">]</w:t>
      </w:r>
      <w:r>
        <w:br/>
      </w:r>
      <w:r>
        <w:br/>
      </w:r>
      <w:r>
        <w:rPr>
          <w:rStyle w:val="VerbatimChar"/>
        </w:rPr>
        <w:t xml:space="preserve">;; -------------------------------------------------------------------</w:t>
      </w:r>
      <w:r>
        <w:br/>
      </w:r>
      <w:r>
        <w:rPr>
          <w:rStyle w:val="VerbatimChar"/>
        </w:rPr>
        <w:t xml:space="preserve">;;  LOAD CUE DATA (CSV FROM R)</w:t>
      </w:r>
      <w:r>
        <w:br/>
      </w:r>
      <w:r>
        <w:rPr>
          <w:rStyle w:val="VerbatimChar"/>
        </w:rPr>
        <w:t xml:space="preserve">;; -------------------------------------------------------------------</w:t>
      </w:r>
      <w:r>
        <w:br/>
      </w:r>
      <w:r>
        <w:rPr>
          <w:rStyle w:val="VerbatimChar"/>
        </w:rPr>
        <w:t xml:space="preserve">to load-cue-csv</w:t>
      </w:r>
      <w:r>
        <w:br/>
      </w:r>
      <w:r>
        <w:rPr>
          <w:rStyle w:val="VerbatimChar"/>
        </w:rPr>
        <w:t xml:space="preserve">  set cue-table table:make</w:t>
      </w:r>
      <w:r>
        <w:br/>
      </w:r>
      <w:r>
        <w:rPr>
          <w:rStyle w:val="VerbatimChar"/>
        </w:rPr>
        <w:t xml:space="preserve">  let raw csv:from-file "inputs/cue_dataset_full.csv"</w:t>
      </w:r>
      <w:r>
        <w:br/>
      </w:r>
      <w:r>
        <w:br/>
      </w:r>
      <w:r>
        <w:rPr>
          <w:rStyle w:val="VerbatimChar"/>
        </w:rPr>
        <w:t xml:space="preserve">  let header first raw</w:t>
      </w:r>
      <w:r>
        <w:br/>
      </w:r>
      <w:r>
        <w:rPr>
          <w:rStyle w:val="VerbatimChar"/>
        </w:rPr>
        <w:t xml:space="preserve">  let rows but-first raw</w:t>
      </w:r>
      <w:r>
        <w:br/>
      </w:r>
      <w:r>
        <w:br/>
      </w:r>
      <w:r>
        <w:rPr>
          <w:rStyle w:val="VerbatimChar"/>
        </w:rPr>
        <w:t xml:space="preserve">  foreach rows [</w:t>
      </w:r>
      <w:r>
        <w:br/>
      </w:r>
      <w:r>
        <w:rPr>
          <w:rStyle w:val="VerbatimChar"/>
        </w:rPr>
        <w:t xml:space="preserve">    r -&gt;</w:t>
      </w:r>
      <w:r>
        <w:br/>
      </w:r>
      <w:r>
        <w:rPr>
          <w:rStyle w:val="VerbatimChar"/>
        </w:rPr>
        <w:t xml:space="preserve">      let doy     item 7  r</w:t>
      </w:r>
      <w:r>
        <w:br/>
      </w:r>
      <w:r>
        <w:rPr>
          <w:rStyle w:val="VerbatimChar"/>
        </w:rPr>
        <w:t xml:space="preserve">      let dTsm    item 21 r</w:t>
      </w:r>
      <w:r>
        <w:br/>
      </w:r>
      <w:r>
        <w:rPr>
          <w:rStyle w:val="VerbatimChar"/>
        </w:rPr>
        <w:t xml:space="preserve">      let dLsm    item 22 r</w:t>
      </w:r>
      <w:r>
        <w:br/>
      </w:r>
      <w:r>
        <w:rPr>
          <w:rStyle w:val="VerbatimChar"/>
        </w:rPr>
        <w:t xml:space="preserve">      let negflag item 24 r</w:t>
      </w:r>
      <w:r>
        <w:br/>
      </w:r>
      <w:r>
        <w:br/>
      </w:r>
      <w:r>
        <w:rPr>
          <w:rStyle w:val="VerbatimChar"/>
        </w:rPr>
        <w:t xml:space="preserve">      table:put cue-table doy (list dTsm dLsm negflag)</w:t>
      </w:r>
      <w:r>
        <w:br/>
      </w:r>
      <w:r>
        <w:rPr>
          <w:rStyle w:val="VerbatimChar"/>
        </w:rPr>
        <w:t xml:space="preserve">  ]</w:t>
      </w:r>
      <w:r>
        <w:br/>
      </w:r>
      <w:r>
        <w:rPr>
          <w:rStyle w:val="VerbatimChar"/>
        </w:rPr>
        <w:t xml:space="preserve">end</w:t>
      </w:r>
      <w:r>
        <w:br/>
      </w:r>
      <w:r>
        <w:br/>
      </w:r>
      <w:r>
        <w:rPr>
          <w:rStyle w:val="VerbatimChar"/>
        </w:rPr>
        <w:t xml:space="preserve">;; -------------------------------------------------------------------</w:t>
      </w:r>
      <w:r>
        <w:br/>
      </w:r>
      <w:r>
        <w:rPr>
          <w:rStyle w:val="VerbatimChar"/>
        </w:rPr>
        <w:t xml:space="preserve">;;  IDENTIFY CUE DAYS (ΔT &lt; 0 AND ΔL &lt; 0)</w:t>
      </w:r>
      <w:r>
        <w:br/>
      </w:r>
      <w:r>
        <w:rPr>
          <w:rStyle w:val="VerbatimChar"/>
        </w:rPr>
        <w:t xml:space="preserve">;; -------------------------------------------------------------------</w:t>
      </w:r>
      <w:r>
        <w:br/>
      </w:r>
      <w:r>
        <w:rPr>
          <w:rStyle w:val="VerbatimChar"/>
        </w:rPr>
        <w:t xml:space="preserve">to find-migration-days</w:t>
      </w:r>
      <w:r>
        <w:br/>
      </w:r>
      <w:r>
        <w:rPr>
          <w:rStyle w:val="VerbatimChar"/>
        </w:rPr>
        <w:t xml:space="preserve">  set cue-days []</w:t>
      </w:r>
      <w:r>
        <w:br/>
      </w:r>
      <w:r>
        <w:br/>
      </w:r>
      <w:r>
        <w:rPr>
          <w:rStyle w:val="VerbatimChar"/>
        </w:rPr>
        <w:t xml:space="preserve">  foreach sort table:keys cue-table [</w:t>
      </w:r>
      <w:r>
        <w:br/>
      </w:r>
      <w:r>
        <w:rPr>
          <w:rStyle w:val="VerbatimChar"/>
        </w:rPr>
        <w:t xml:space="preserve">    d -&gt;</w:t>
      </w:r>
      <w:r>
        <w:br/>
      </w:r>
      <w:r>
        <w:rPr>
          <w:rStyle w:val="VerbatimChar"/>
        </w:rPr>
        <w:t xml:space="preserve">      let vals table:get cue-table d</w:t>
      </w:r>
      <w:r>
        <w:br/>
      </w:r>
      <w:r>
        <w:rPr>
          <w:rStyle w:val="VerbatimChar"/>
        </w:rPr>
        <w:t xml:space="preserve">      let negflag item 2 vals</w:t>
      </w:r>
      <w:r>
        <w:br/>
      </w:r>
      <w:r>
        <w:br/>
      </w:r>
      <w:r>
        <w:rPr>
          <w:rStyle w:val="VerbatimChar"/>
        </w:rPr>
        <w:t xml:space="preserve">      if (negflag = "TRUE" or negflag = true) [</w:t>
      </w:r>
      <w:r>
        <w:br/>
      </w:r>
      <w:r>
        <w:rPr>
          <w:rStyle w:val="VerbatimChar"/>
        </w:rPr>
        <w:t xml:space="preserve">        set cue-days lput d cue-days</w:t>
      </w:r>
      <w:r>
        <w:br/>
      </w:r>
      <w:r>
        <w:rPr>
          <w:rStyle w:val="VerbatimChar"/>
        </w:rPr>
        <w:t xml:space="preserve">      ]</w:t>
      </w:r>
      <w:r>
        <w:br/>
      </w:r>
      <w:r>
        <w:rPr>
          <w:rStyle w:val="VerbatimChar"/>
        </w:rPr>
        <w:t xml:space="preserve">  ]</w:t>
      </w:r>
      <w:r>
        <w:br/>
      </w:r>
      <w:r>
        <w:rPr>
          <w:rStyle w:val="VerbatimChar"/>
        </w:rPr>
        <w:t xml:space="preserve">end</w:t>
      </w:r>
      <w:r>
        <w:br/>
      </w:r>
      <w:r>
        <w:br/>
      </w:r>
      <w:r>
        <w:rPr>
          <w:rStyle w:val="VerbatimChar"/>
        </w:rPr>
        <w:t xml:space="preserve">;; -------------------------------------------------------------------</w:t>
      </w:r>
      <w:r>
        <w:br/>
      </w:r>
      <w:r>
        <w:rPr>
          <w:rStyle w:val="VerbatimChar"/>
        </w:rPr>
        <w:t xml:space="preserve">;;  UPDATE MIGRATION CUE (DAILY)</w:t>
      </w:r>
      <w:r>
        <w:br/>
      </w:r>
      <w:r>
        <w:rPr>
          <w:rStyle w:val="VerbatimChar"/>
        </w:rPr>
        <w:t xml:space="preserve">;; -------------------------------------------------------------------</w:t>
      </w:r>
      <w:r>
        <w:br/>
      </w:r>
      <w:r>
        <w:rPr>
          <w:rStyle w:val="VerbatimChar"/>
        </w:rPr>
        <w:t xml:space="preserve">to update-migration-cue</w:t>
      </w:r>
      <w:r>
        <w:br/>
      </w:r>
      <w:r>
        <w:rPr>
          <w:rStyle w:val="VerbatimChar"/>
        </w:rPr>
        <w:t xml:space="preserve">  ifelse member? day cue-days [</w:t>
      </w:r>
      <w:r>
        <w:br/>
      </w:r>
      <w:r>
        <w:rPr>
          <w:rStyle w:val="VerbatimChar"/>
        </w:rPr>
        <w:t xml:space="preserve">    set cue-active? true</w:t>
      </w:r>
      <w:r>
        <w:br/>
      </w:r>
      <w:r>
        <w:rPr>
          <w:rStyle w:val="VerbatimChar"/>
        </w:rPr>
        <w:t xml:space="preserve">    set migration-trigger? true</w:t>
      </w:r>
      <w:r>
        <w:br/>
      </w:r>
      <w:r>
        <w:rPr>
          <w:rStyle w:val="VerbatimChar"/>
        </w:rPr>
        <w:t xml:space="preserve">  ] [</w:t>
      </w:r>
      <w:r>
        <w:br/>
      </w:r>
      <w:r>
        <w:rPr>
          <w:rStyle w:val="VerbatimChar"/>
        </w:rPr>
        <w:t xml:space="preserve">    set cue-active? false</w:t>
      </w:r>
      <w:r>
        <w:br/>
      </w:r>
      <w:r>
        <w:rPr>
          <w:rStyle w:val="VerbatimChar"/>
        </w:rPr>
        <w:t xml:space="preserve">  ]</w:t>
      </w:r>
      <w:r>
        <w:br/>
      </w:r>
      <w:r>
        <w:rPr>
          <w:rStyle w:val="VerbatimChar"/>
        </w:rPr>
        <w:t xml:space="preserve">end</w:t>
      </w:r>
      <w:r>
        <w:br/>
      </w:r>
      <w:r>
        <w:br/>
      </w:r>
      <w:r>
        <w:rPr>
          <w:rStyle w:val="VerbatimChar"/>
        </w:rPr>
        <w:t xml:space="preserve">;; -------------------------------------------------------------------</w:t>
      </w:r>
      <w:r>
        <w:br/>
      </w:r>
      <w:r>
        <w:rPr>
          <w:rStyle w:val="VerbatimChar"/>
        </w:rPr>
        <w:t xml:space="preserve">;;  ALEWIFE MIGRATION PROBABILITY ACCUMULATION</w:t>
      </w:r>
      <w:r>
        <w:br/>
      </w:r>
      <w:r>
        <w:rPr>
          <w:rStyle w:val="VerbatimChar"/>
        </w:rPr>
        <w:t xml:space="preserve">;; -------------------------------------------------------------------</w:t>
      </w:r>
      <w:r>
        <w:br/>
      </w:r>
      <w:r>
        <w:rPr>
          <w:rStyle w:val="VerbatimChar"/>
        </w:rPr>
        <w:t xml:space="preserve">to calc-migration-probability</w:t>
      </w:r>
      <w:r>
        <w:br/>
      </w:r>
      <w:r>
        <w:rPr>
          <w:rStyle w:val="VerbatimChar"/>
        </w:rPr>
        <w:t xml:space="preserve">  if migration-trigger? [</w:t>
      </w:r>
      <w:r>
        <w:br/>
      </w:r>
      <w:r>
        <w:rPr>
          <w:rStyle w:val="VerbatimChar"/>
        </w:rPr>
        <w:t xml:space="preserve">    set migration-probability</w:t>
      </w:r>
      <w:r>
        <w:br/>
      </w:r>
      <w:r>
        <w:rPr>
          <w:rStyle w:val="VerbatimChar"/>
        </w:rPr>
        <w:t xml:space="preserve">      migration-probability</w:t>
      </w:r>
      <w:r>
        <w:br/>
      </w:r>
      <w:r>
        <w:rPr>
          <w:rStyle w:val="VerbatimChar"/>
        </w:rPr>
        <w:t xml:space="preserve">      + (0.00001 + random-float 0.00004)</w:t>
      </w:r>
      <w:r>
        <w:br/>
      </w:r>
      <w:r>
        <w:br/>
      </w:r>
      <w:r>
        <w:rPr>
          <w:rStyle w:val="VerbatimChar"/>
        </w:rPr>
        <w:t xml:space="preserve">    if migration-probability &gt; 1 [</w:t>
      </w:r>
      <w:r>
        <w:br/>
      </w:r>
      <w:r>
        <w:rPr>
          <w:rStyle w:val="VerbatimChar"/>
        </w:rPr>
        <w:t xml:space="preserve">      set migration-probability 1</w:t>
      </w:r>
      <w:r>
        <w:br/>
      </w:r>
      <w:r>
        <w:rPr>
          <w:rStyle w:val="VerbatimChar"/>
        </w:rPr>
        <w:t xml:space="preserve">    ]</w:t>
      </w:r>
      <w:r>
        <w:br/>
      </w:r>
      <w:r>
        <w:rPr>
          <w:rStyle w:val="VerbatimChar"/>
        </w:rPr>
        <w:t xml:space="preserve">  ]</w:t>
      </w:r>
      <w:r>
        <w:br/>
      </w:r>
      <w:r>
        <w:rPr>
          <w:rStyle w:val="VerbatimChar"/>
        </w:rPr>
        <w:t xml:space="preserve">end</w:t>
      </w:r>
      <w:r>
        <w:br/>
      </w:r>
      <w:r>
        <w:br/>
      </w:r>
      <w:r>
        <w:rPr>
          <w:rStyle w:val="VerbatimChar"/>
        </w:rPr>
        <w:t xml:space="preserve">to migrate</w:t>
      </w:r>
      <w:r>
        <w:br/>
      </w:r>
      <w:r>
        <w:rPr>
          <w:rStyle w:val="VerbatimChar"/>
        </w:rPr>
        <w:t xml:space="preserve">if random-float 1 &lt;= migration-probability </w:t>
      </w:r>
      <w:r>
        <w:br/>
      </w:r>
      <w:r>
        <w:rPr>
          <w:rStyle w:val="VerbatimChar"/>
        </w:rPr>
        <w:t xml:space="preserve">set start-migration? true</w:t>
      </w:r>
      <w:r>
        <w:br/>
      </w:r>
      <w:r>
        <w:rPr>
          <w:rStyle w:val="VerbatimChar"/>
        </w:rPr>
        <w:t xml:space="preserve">end</w:t>
      </w:r>
    </w:p>
    <w:bookmarkStart w:id="30" w:name="refs"/>
    <w:bookmarkStart w:id="24" w:name="ref-dingle_2014_migration"/>
    <w:p>
      <w:pPr>
        <w:pStyle w:val="Bibliography"/>
      </w:pPr>
      <w:r>
        <w:t xml:space="preserve">Dingle, Hugh. 2014.</w:t>
      </w:r>
      <w:r>
        <w:t xml:space="preserve"> </w:t>
      </w:r>
      <w:r>
        <w:rPr>
          <w:i/>
          <w:iCs/>
        </w:rPr>
        <w:t xml:space="preserve">Migration: The Biology of Life on the Move</w:t>
      </w:r>
      <w:r>
        <w:t xml:space="preserve">. 2nd ed. Oxford University Press.</w:t>
      </w:r>
    </w:p>
    <w:bookmarkEnd w:id="24"/>
    <w:bookmarkStart w:id="26" w:name="ref-garcia-vega_upstream_2022"/>
    <w:p>
      <w:pPr>
        <w:pStyle w:val="Bibliography"/>
      </w:pPr>
      <w:r>
        <w:t xml:space="preserve">García-Vega, Ana, Juan Francisco Fuentes-Pérez, Pedro M. Leunda Urretabizkaia, José Ardaiz Ganuza, and Francisco Javier Sanz-Ronda. 2022.</w:t>
      </w:r>
      <w:r>
        <w:t xml:space="preserve"> </w:t>
      </w:r>
      <w:r>
        <w:t xml:space="preserve">“Upstream Migration of Anadromous and Potamodromous Brown Trout: Patterns and Triggers in a 25-Year Overview.”</w:t>
      </w:r>
      <w:r>
        <w:t xml:space="preserve"> </w:t>
      </w:r>
      <w:r>
        <w:rPr>
          <w:i/>
          <w:iCs/>
        </w:rPr>
        <w:t xml:space="preserve">Hydrobiologia</w:t>
      </w:r>
      <w:r>
        <w:t xml:space="preserve"> </w:t>
      </w:r>
      <w:r>
        <w:t xml:space="preserve">849 (1): 197–213.</w:t>
      </w:r>
      <w:r>
        <w:t xml:space="preserve"> </w:t>
      </w:r>
      <w:hyperlink r:id="rId25">
        <w:r>
          <w:rPr>
            <w:rStyle w:val="Hyperlink"/>
          </w:rPr>
          <w:t xml:space="preserve">https://doi.org/10.1007/s10750-021-04720-9</w:t>
        </w:r>
      </w:hyperlink>
      <w:r>
        <w:t xml:space="preserve">.</w:t>
      </w:r>
    </w:p>
    <w:bookmarkEnd w:id="26"/>
    <w:bookmarkStart w:id="27" w:name="ref-jonsson_environmental_1991"/>
    <w:p>
      <w:pPr>
        <w:pStyle w:val="Bibliography"/>
      </w:pPr>
      <w:r>
        <w:t xml:space="preserve">Jonsson, Nina. 1991.</w:t>
      </w:r>
      <w:r>
        <w:t xml:space="preserve"> </w:t>
      </w:r>
      <w:r>
        <w:t xml:space="preserve">“Influence of Water Flow, Water Temperature and Light on Fish Migration in Rivers.”</w:t>
      </w:r>
      <w:r>
        <w:t xml:space="preserve"> </w:t>
      </w:r>
      <w:r>
        <w:rPr>
          <w:i/>
          <w:iCs/>
        </w:rPr>
        <w:t xml:space="preserve">Nordic Journal of Freshwater Research</w:t>
      </w:r>
      <w:r>
        <w:t xml:space="preserve"> </w:t>
      </w:r>
      <w:r>
        <w:t xml:space="preserve">66: 20–35.</w:t>
      </w:r>
    </w:p>
    <w:bookmarkEnd w:id="27"/>
    <w:bookmarkStart w:id="29" w:name="ref-zydlewski_photoperiod_2014"/>
    <w:p>
      <w:pPr>
        <w:pStyle w:val="Bibliography"/>
      </w:pPr>
      <w:r>
        <w:t xml:space="preserve">Zydlewski, G. B., D. S. Stich, and S. D. McCormick. 2014.</w:t>
      </w:r>
      <w:r>
        <w:t xml:space="preserve"> </w:t>
      </w:r>
      <w:r>
        <w:t xml:space="preserve">“Photoperiod Control of Downstream Movements of</w:t>
      </w:r>
      <w:r>
        <w:t xml:space="preserve"> </w:t>
      </w:r>
      <w:r>
        <w:t xml:space="preserve">Atlantic</w:t>
      </w:r>
      <w:r>
        <w:t xml:space="preserve"> </w:t>
      </w:r>
      <w:r>
        <w:t xml:space="preserve">Salmon</w:t>
      </w:r>
      <w:r>
        <w:t xml:space="preserve"> </w:t>
      </w:r>
      <w:r>
        <w:rPr>
          <w:i/>
          <w:iCs/>
        </w:rPr>
        <w:t xml:space="preserve">Salmo</w:t>
      </w:r>
      <w:r>
        <w:rPr>
          <w:i/>
          <w:iCs/>
        </w:rPr>
        <w:t xml:space="preserve"> </w:t>
      </w:r>
      <w:r>
        <w:rPr>
          <w:i/>
          <w:iCs/>
        </w:rPr>
        <w:t xml:space="preserve">Salar</w:t>
      </w:r>
      <w:r>
        <w:t xml:space="preserve"> </w:t>
      </w:r>
      <w:r>
        <w:t xml:space="preserve">Smolts.”</w:t>
      </w:r>
      <w:r>
        <w:t xml:space="preserve"> </w:t>
      </w:r>
      <w:r>
        <w:rPr>
          <w:i/>
          <w:iCs/>
        </w:rPr>
        <w:t xml:space="preserve">Journal of Fish Biology</w:t>
      </w:r>
      <w:r>
        <w:t xml:space="preserve"> </w:t>
      </w:r>
      <w:r>
        <w:t xml:space="preserve">85 (4): 1023–41.</w:t>
      </w:r>
      <w:r>
        <w:t xml:space="preserve"> </w:t>
      </w:r>
      <w:hyperlink r:id="rId28">
        <w:r>
          <w:rPr>
            <w:rStyle w:val="Hyperlink"/>
          </w:rPr>
          <w:t xml:space="preserve">https://doi.org/10.1111/jfb.12509</w:t>
        </w:r>
      </w:hyperlink>
      <w:r>
        <w:t xml:space="preserve">.</w:t>
      </w:r>
    </w:p>
    <w:bookmarkEnd w:id="29"/>
    <w:bookmarkEnd w:id="30"/>
    <w:bookmarkEnd w:id="31"/>
    <w:bookmarkEnd w:id="32"/>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
    <w:abstractNumId w:val="1"/>
    <w:lvlOverride w:ilvl="0">
      <w:startOverride w:val="1"/>
    </w:lvlOverride>
  </w: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https://doi.org/10.1007/s10750-021-04720-9" TargetMode="External" /><Relationship Type="http://schemas.openxmlformats.org/officeDocument/2006/relationships/hyperlink" Id="rId28" Target="https://doi.org/10.1111/jfb.12509" TargetMode="External" /></Relationships>
</file>

<file path=word/_rels/footnotes.xml.rels><?xml version="1.0" encoding="UTF-8"?><Relationships xmlns="http://schemas.openxmlformats.org/package/2006/relationships"><Relationship Type="http://schemas.openxmlformats.org/officeDocument/2006/relationships/hyperlink" Id="rId25" Target="https://doi.org/10.1007/s10750-021-04720-9" TargetMode="External" /><Relationship Type="http://schemas.openxmlformats.org/officeDocument/2006/relationships/hyperlink" Id="rId28" Target="https://doi.org/10.1111/jfb.1250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2026-07-11T16:23:43Z</dcterms:created>
  <dcterms:modified xsi:type="dcterms:W3CDTF">2026-07-11T16:23:43Z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